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color w:val="2563EB"/>
          <w:sz w:val="30"/>
          <w:szCs w:val="30"/>
        </w:rPr>
        <w:t xml:space="preserve">SICAK ÇALIŞMA İZİN FORMU</w:t>
      </w:r>
    </w:p>
    <w:p>
      <w:pPr>
        <w:spacing w:after="240"/>
      </w:pPr>
      <w:r>
        <w:rPr>
          <w:i/>
          <w:sz w:val="18"/>
          <w:szCs w:val="18"/>
        </w:rPr>
        <w:t xml:space="preserve">Sıcak çalışma; kaynak, kesme, taşlama, lehimleme, alevle ısıtma gibi kıvılcım, alev veya ısı üreten işlerdir. Bu izin formu, işin başlamadan önce kontrol edildiğini, riskli koşulların giderildiğini ve yetkili kişi tarafından onaylandığını belgeler. İzin yalnızca belirtilen iş, yer ve süre için geçerlidir; koşullar değişirse iptal edilir ve yeniden alınır.</w:t>
      </w:r>
    </w:p>
    <w:p>
      <w:pPr>
        <w:pStyle w:val="Heading1"/>
        <w:spacing w:after="160"/>
      </w:pPr>
      <w:r>
        <w:t xml:space="preserve">1. İş ve Yer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İzin no</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 bölüm</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Çalışmanın yapılacağı yer</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Yapılacak iş (kaynak/kesme/taşlama vb.)</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İşi yapacak kişi(ler)</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İzin geçerlilik tarihi ve saat aralığı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bl>
    <w:p>
      <w:pPr>
        <w:spacing w:after="80"/>
      </w:pPr>
    </w:p>
    <w:p>
      <w:pPr>
        <w:pStyle w:val="Heading1"/>
        <w:spacing w:after="160"/>
      </w:pPr>
      <w:r>
        <w:t xml:space="preserve">2. Onay Öncesi Güvenlik Kontrol Listesi</w:t>
      </w:r>
    </w:p>
    <w:p>
      <w:pPr>
        <w:spacing w:after="120"/>
      </w:pPr>
      <w:r>
        <w:rPr>
          <w:i/>
          <w:sz w:val="18"/>
          <w:szCs w:val="18"/>
        </w:rPr>
        <w:t xml:space="preserve">Aşağıdaki maddelerin tamamı sağlanmadan izin verilmez. “Hayır” işaretlenen bir madde varsa önce giderilir. “U.D.” = uygulanmaz.</w:t>
      </w:r>
    </w:p>
    <w:tbl>
      <w:tblPr>
        <w:tblW w:w="0" w:type="auto"/>
        <w:tblLayout w:type="fixed"/>
      </w:tblPr>
      <w:tblGrid>
        <w:gridCol w:w="6800"/>
        <w:gridCol w:w="900"/>
        <w:gridCol w:w="900"/>
        <w:gridCol w:w="800"/>
      </w:tblGrid>
      <w:tr>
        <w:tc>
          <w:tcPr>
            <w:tcBorders>
              <w:top w:val="single" w:sz="4" w:color="CBD5E1"/>
              <w:left w:val="single" w:sz="4" w:color="CBD5E1"/>
              <w:bottom w:val="single" w:sz="4" w:color="CBD5E1"/>
              <w:right w:val="single" w:sz="4" w:color="CBD5E1"/>
            </w:tcBorders>
            <w:tcW w:w="6800" w:type="dxa"/>
            <w:shd w:val="clear" w:color="auto" w:fill="2563EB"/>
          </w:tcPr>
          <w:p>
            <w:pPr>
              <w:spacing w:after="40"/>
            </w:pPr>
            <w:r>
              <w:rPr>
                <w:b/>
                <w:color w:val="FFFFFF"/>
              </w:rPr>
              <w:t xml:space="preserve">Kontrol noktası</w:t>
            </w:r>
          </w:p>
        </w:tc>
        <w:tc>
          <w:tcPr>
            <w:tcBorders>
              <w:top w:val="single" w:sz="4" w:color="CBD5E1"/>
              <w:left w:val="single" w:sz="4" w:color="CBD5E1"/>
              <w:bottom w:val="single" w:sz="4" w:color="CBD5E1"/>
              <w:right w:val="single" w:sz="4" w:color="CBD5E1"/>
            </w:tcBorders>
            <w:tcW w:w="900" w:type="dxa"/>
            <w:shd w:val="clear" w:color="auto" w:fill="2563EB"/>
          </w:tcPr>
          <w:p>
            <w:pPr>
              <w:spacing w:after="40"/>
            </w:pPr>
            <w:r>
              <w:rPr>
                <w:b/>
                <w:color w:val="FFFFFF"/>
              </w:rPr>
              <w:t xml:space="preserve">Evet</w:t>
            </w:r>
          </w:p>
        </w:tc>
        <w:tc>
          <w:tcPr>
            <w:tcBorders>
              <w:top w:val="single" w:sz="4" w:color="CBD5E1"/>
              <w:left w:val="single" w:sz="4" w:color="CBD5E1"/>
              <w:bottom w:val="single" w:sz="4" w:color="CBD5E1"/>
              <w:right w:val="single" w:sz="4" w:color="CBD5E1"/>
            </w:tcBorders>
            <w:tcW w:w="900" w:type="dxa"/>
            <w:shd w:val="clear" w:color="auto" w:fill="2563EB"/>
          </w:tcPr>
          <w:p>
            <w:pPr>
              <w:spacing w:after="40"/>
            </w:pPr>
            <w:r>
              <w:rPr>
                <w:b/>
                <w:color w:val="FFFFFF"/>
              </w:rPr>
              <w:t xml:space="preserve">Hayır</w:t>
            </w:r>
          </w:p>
        </w:tc>
        <w:tc>
          <w:tcPr>
            <w:tcBorders>
              <w:top w:val="single" w:sz="4" w:color="CBD5E1"/>
              <w:left w:val="single" w:sz="4" w:color="CBD5E1"/>
              <w:bottom w:val="single" w:sz="4" w:color="CBD5E1"/>
              <w:right w:val="single" w:sz="4" w:color="CBD5E1"/>
            </w:tcBorders>
            <w:tcW w:w="800" w:type="dxa"/>
            <w:shd w:val="clear" w:color="auto" w:fill="2563EB"/>
          </w:tcPr>
          <w:p>
            <w:pPr>
              <w:spacing w:after="40"/>
            </w:pPr>
            <w:r>
              <w:rPr>
                <w:b/>
                <w:color w:val="FFFFFF"/>
              </w:rPr>
              <w:t xml:space="preserve">U.D.</w:t>
            </w:r>
          </w:p>
        </w:tc>
      </w:tr>
      <w:tr>
        <w:tc>
          <w:tcPr>
            <w:tcBorders>
              <w:top w:val="single" w:sz="4" w:color="CBD5E1"/>
              <w:left w:val="single" w:sz="4" w:color="CBD5E1"/>
              <w:bottom w:val="single" w:sz="4" w:color="CBD5E1"/>
              <w:right w:val="single" w:sz="4" w:color="CBD5E1"/>
            </w:tcBorders>
            <w:tcW w:w="6800" w:type="dxa"/>
          </w:tcPr>
          <w:p>
            <w:pPr>
              <w:spacing w:after="40"/>
            </w:pPr>
            <w:r>
              <w:t xml:space="preserve">Çalışma alanı 11 metre çevresinde yanıcı/parlayıcı madde uzaklaştırıldı veya korundu</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Yanıcı maddeler uzaklaştırılamıyorsa yanmaz örtü ile kapatıldı</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Zemin ve duvarlardaki açıklıklar (kanal, menfez, döşeme boşluğu) kapatıldı</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Ortam gaz ölçümü yapıldı; patlayıcı/zehirli gaz sınır değerin altında</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Uygun tipte ve dolu yangın söndürücü çalışma noktasında hazır</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Yangın gözcüsü görevlendirildi (çalışma + sonrası en az 30 dk gözetim)</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Çalışan KKD'leri tam (kaynak maskesi/siperlik, eldiven, önlük, ayakkabı)</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Tüpler (oksijen/asetilen) dik, zincirli, geri tepme valfli; hortumlar sağlam</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Havalandırma yeterli / kapalı alansa kapalı alan izni de alındı</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r>
        <w:tc>
          <w:tcPr>
            <w:tcBorders>
              <w:top w:val="single" w:sz="4" w:color="CBD5E1"/>
              <w:left w:val="single" w:sz="4" w:color="CBD5E1"/>
              <w:bottom w:val="single" w:sz="4" w:color="CBD5E1"/>
              <w:right w:val="single" w:sz="4" w:color="CBD5E1"/>
            </w:tcBorders>
            <w:tcW w:w="6800" w:type="dxa"/>
          </w:tcPr>
          <w:p>
            <w:pPr>
              <w:spacing w:after="40"/>
            </w:pPr>
            <w:r>
              <w:t xml:space="preserve">İlk yardım ve acil durum iletişim bilgileri erişilebilir</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w:t>
            </w:r>
          </w:p>
        </w:tc>
      </w:tr>
    </w:tbl>
    <w:p>
      <w:pPr>
        <w:spacing w:after="80"/>
      </w:pPr>
    </w:p>
    <w:p>
      <w:pPr>
        <w:pStyle w:val="Heading1"/>
        <w:spacing w:after="160"/>
      </w:pPr>
      <w:r>
        <w:t xml:space="preserve">3. Onay ve İmzalar</w:t>
      </w:r>
    </w:p>
    <w:p>
      <w:pPr>
        <w:spacing w:after="240"/>
      </w:pPr>
      <w:r>
        <w:rPr>
          <w:i/>
          <w:sz w:val="18"/>
          <w:szCs w:val="18"/>
        </w:rPr>
        <w:t xml:space="preserve">İzni veren yetkili (genellikle iş güvenliği uzmanı veya işveren vekili), işi yapacak çalışan ve yangın gözcüsü ayrı ayrı imzalar. Yangın gözcüsü, çalışmadan sonra alanı en az 30 dakika gözetir ve “temiz” onayını verir.</w:t>
      </w:r>
    </w:p>
    <w:tbl>
      <w:tblPr>
        <w:tblW w:w="0" w:type="auto"/>
        <w:tblLayout w:type="fixed"/>
      </w:tblPr>
      <w:tblGrid>
        <w:gridCol w:w="1900"/>
        <w:gridCol w:w="2500"/>
        <w:gridCol w:w="2500"/>
        <w:gridCol w:w="2500"/>
      </w:tblGrid>
      <w:tr>
        <w:tc>
          <w:tcPr>
            <w:tcBorders>
              <w:top w:val="single" w:sz="4" w:color="CBD5E1"/>
              <w:left w:val="single" w:sz="4" w:color="CBD5E1"/>
              <w:bottom w:val="single" w:sz="4" w:color="CBD5E1"/>
              <w:right w:val="single" w:sz="4" w:color="CBD5E1"/>
            </w:tcBorders>
            <w:tcW w:w="1900" w:type="dxa"/>
          </w:tcPr>
          <w:p>
            <w:pPr>
              <w:spacing w:after="40"/>
            </w:pPr>
            <w:r>
              <w:t xml:space="preserve"/>
            </w:r>
          </w:p>
        </w:tc>
        <w:tc>
          <w:tcPr>
            <w:tcBorders>
              <w:top w:val="single" w:sz="4" w:color="CBD5E1"/>
              <w:left w:val="single" w:sz="4" w:color="CBD5E1"/>
              <w:bottom w:val="single" w:sz="4" w:color="CBD5E1"/>
              <w:right w:val="single" w:sz="4" w:color="CBD5E1"/>
            </w:tcBorders>
            <w:tcW w:w="2500" w:type="dxa"/>
            <w:shd w:val="clear" w:color="auto" w:fill="2563EB"/>
          </w:tcPr>
          <w:p>
            <w:pPr>
              <w:spacing w:after="40"/>
            </w:pPr>
            <w:r>
              <w:rPr>
                <w:b/>
                <w:color w:val="FFFFFF"/>
              </w:rPr>
              <w:t xml:space="preserve">İzni Veren Yetkili</w:t>
            </w:r>
          </w:p>
        </w:tc>
        <w:tc>
          <w:tcPr>
            <w:tcBorders>
              <w:top w:val="single" w:sz="4" w:color="CBD5E1"/>
              <w:left w:val="single" w:sz="4" w:color="CBD5E1"/>
              <w:bottom w:val="single" w:sz="4" w:color="CBD5E1"/>
              <w:right w:val="single" w:sz="4" w:color="CBD5E1"/>
            </w:tcBorders>
            <w:tcW w:w="2500" w:type="dxa"/>
            <w:shd w:val="clear" w:color="auto" w:fill="2563EB"/>
          </w:tcPr>
          <w:p>
            <w:pPr>
              <w:spacing w:after="40"/>
            </w:pPr>
            <w:r>
              <w:rPr>
                <w:b/>
                <w:color w:val="FFFFFF"/>
              </w:rPr>
              <w:t xml:space="preserve">İşi Yapan Çalışan</w:t>
            </w:r>
          </w:p>
        </w:tc>
        <w:tc>
          <w:tcPr>
            <w:tcBorders>
              <w:top w:val="single" w:sz="4" w:color="CBD5E1"/>
              <w:left w:val="single" w:sz="4" w:color="CBD5E1"/>
              <w:bottom w:val="single" w:sz="4" w:color="CBD5E1"/>
              <w:right w:val="single" w:sz="4" w:color="CBD5E1"/>
            </w:tcBorders>
            <w:tcW w:w="2500" w:type="dxa"/>
            <w:shd w:val="clear" w:color="auto" w:fill="2563EB"/>
          </w:tcPr>
          <w:p>
            <w:pPr>
              <w:spacing w:after="40"/>
            </w:pPr>
            <w:r>
              <w:rPr>
                <w:b/>
                <w:color w:val="FFFFFF"/>
              </w:rPr>
              <w:t xml:space="preserve">Yangın Gözcüsü</w:t>
            </w:r>
          </w:p>
        </w:tc>
      </w:tr>
      <w:tr>
        <w:tc>
          <w:tcPr>
            <w:tcBorders>
              <w:top w:val="single" w:sz="4" w:color="CBD5E1"/>
              <w:left w:val="single" w:sz="4" w:color="CBD5E1"/>
              <w:bottom w:val="single" w:sz="4" w:color="CBD5E1"/>
              <w:right w:val="single" w:sz="4" w:color="CBD5E1"/>
            </w:tcBorders>
            <w:tcW w:w="19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2500" w:type="dxa"/>
          </w:tcPr>
          <w:p>
            <w:pPr>
              <w:spacing w:after="40"/>
            </w:pPr>
            <w:r>
              <w:t xml:space="preserve"/>
            </w:r>
          </w:p>
        </w:tc>
        <w:tc>
          <w:tcPr>
            <w:tcBorders>
              <w:top w:val="single" w:sz="4" w:color="CBD5E1"/>
              <w:left w:val="single" w:sz="4" w:color="CBD5E1"/>
              <w:bottom w:val="single" w:sz="4" w:color="CBD5E1"/>
              <w:right w:val="single" w:sz="4" w:color="CBD5E1"/>
            </w:tcBorders>
            <w:tcW w:w="2500" w:type="dxa"/>
          </w:tcPr>
          <w:p>
            <w:pPr>
              <w:spacing w:after="40"/>
            </w:pPr>
            <w:r>
              <w:t xml:space="preserve"/>
            </w:r>
          </w:p>
        </w:tc>
        <w:tc>
          <w:tcPr>
            <w:tcBorders>
              <w:top w:val="single" w:sz="4" w:color="CBD5E1"/>
              <w:left w:val="single" w:sz="4" w:color="CBD5E1"/>
              <w:bottom w:val="single" w:sz="4" w:color="CBD5E1"/>
              <w:right w:val="single" w:sz="4" w:color="CBD5E1"/>
            </w:tcBorders>
            <w:tcW w:w="2500" w:type="dxa"/>
          </w:tcPr>
          <w:p>
            <w:pPr>
              <w:spacing w:after="40"/>
            </w:pPr>
            <w:r>
              <w:t xml:space="preserve"/>
            </w:r>
          </w:p>
        </w:tc>
      </w:tr>
      <w:tr>
        <w:tc>
          <w:tcPr>
            <w:tcBorders>
              <w:top w:val="single" w:sz="4" w:color="CBD5E1"/>
              <w:left w:val="single" w:sz="4" w:color="CBD5E1"/>
              <w:bottom w:val="single" w:sz="4" w:color="CBD5E1"/>
              <w:right w:val="single" w:sz="4" w:color="CBD5E1"/>
            </w:tcBorders>
            <w:tcW w:w="1900" w:type="dxa"/>
            <w:shd w:val="clear" w:color="auto" w:fill="2563EB"/>
          </w:tcPr>
          <w:p>
            <w:pPr>
              <w:spacing w:after="40"/>
            </w:pPr>
            <w:r>
              <w:rPr>
                <w:b/>
                <w:color w:val="FFFFFF"/>
              </w:rPr>
              <w:t xml:space="preserve">Tarih / saat</w:t>
            </w:r>
          </w:p>
        </w:tc>
        <w:tc>
          <w:tcPr>
            <w:tcBorders>
              <w:top w:val="single" w:sz="4" w:color="CBD5E1"/>
              <w:left w:val="single" w:sz="4" w:color="CBD5E1"/>
              <w:bottom w:val="single" w:sz="4" w:color="CBD5E1"/>
              <w:right w:val="single" w:sz="4" w:color="CBD5E1"/>
            </w:tcBorders>
            <w:tcW w:w="2500" w:type="dxa"/>
          </w:tcPr>
          <w:p>
            <w:pPr>
              <w:spacing w:after="40"/>
            </w:pPr>
            <w:r>
              <w:t xml:space="preserve"/>
            </w:r>
          </w:p>
        </w:tc>
        <w:tc>
          <w:tcPr>
            <w:tcBorders>
              <w:top w:val="single" w:sz="4" w:color="CBD5E1"/>
              <w:left w:val="single" w:sz="4" w:color="CBD5E1"/>
              <w:bottom w:val="single" w:sz="4" w:color="CBD5E1"/>
              <w:right w:val="single" w:sz="4" w:color="CBD5E1"/>
            </w:tcBorders>
            <w:tcW w:w="2500" w:type="dxa"/>
          </w:tcPr>
          <w:p>
            <w:pPr>
              <w:spacing w:after="40"/>
            </w:pPr>
            <w:r>
              <w:t xml:space="preserve"/>
            </w:r>
          </w:p>
        </w:tc>
        <w:tc>
          <w:tcPr>
            <w:tcBorders>
              <w:top w:val="single" w:sz="4" w:color="CBD5E1"/>
              <w:left w:val="single" w:sz="4" w:color="CBD5E1"/>
              <w:bottom w:val="single" w:sz="4" w:color="CBD5E1"/>
              <w:right w:val="single" w:sz="4" w:color="CBD5E1"/>
            </w:tcBorders>
            <w:tcW w:w="2500" w:type="dxa"/>
          </w:tcPr>
          <w:p>
            <w:pPr>
              <w:spacing w:after="40"/>
            </w:pPr>
            <w:r>
              <w:t xml:space="preserve"/>
            </w:r>
          </w:p>
        </w:tc>
      </w:tr>
      <w:tr>
        <w:tc>
          <w:tcPr>
            <w:tcBorders>
              <w:top w:val="single" w:sz="4" w:color="CBD5E1"/>
              <w:left w:val="single" w:sz="4" w:color="CBD5E1"/>
              <w:bottom w:val="single" w:sz="4" w:color="CBD5E1"/>
              <w:right w:val="single" w:sz="4" w:color="CBD5E1"/>
            </w:tcBorders>
            <w:tcW w:w="1900" w:type="dxa"/>
            <w:shd w:val="clear" w:color="auto" w:fill="2563EB"/>
          </w:tcPr>
          <w:p>
            <w:pPr>
              <w:spacing w:after="40"/>
            </w:pPr>
            <w:r>
              <w:rPr>
                <w:b/>
                <w:color w:val="FFFFFF"/>
              </w:rPr>
              <w:t xml:space="preserve">İmza</w:t>
            </w:r>
          </w:p>
        </w:tc>
        <w:tc>
          <w:tcPr>
            <w:tcBorders>
              <w:top w:val="single" w:sz="4" w:color="CBD5E1"/>
              <w:left w:val="single" w:sz="4" w:color="CBD5E1"/>
              <w:bottom w:val="single" w:sz="4" w:color="CBD5E1"/>
              <w:right w:val="single" w:sz="4" w:color="CBD5E1"/>
            </w:tcBorders>
            <w:tcW w:w="2500" w:type="dxa"/>
          </w:tcPr>
          <w:p>
            <w:pPr>
              <w:spacing w:after="40"/>
            </w:pPr>
            <w:r>
              <w:t xml:space="preserve">&lt;w:p&gt;&lt;w:pPr&gt;&lt;w:spacing w:after="40"/&gt;&lt;/w:pPr&gt;&lt;w:r&gt;&lt;w:t xml:space="preserve"&gt;________________________________________&lt;/w:t&gt;&lt;/w:r&gt;&lt;/w:p&gt;</w:t>
            </w:r>
          </w:p>
        </w:tc>
        <w:tc>
          <w:tcPr>
            <w:tcBorders>
              <w:top w:val="single" w:sz="4" w:color="CBD5E1"/>
              <w:left w:val="single" w:sz="4" w:color="CBD5E1"/>
              <w:bottom w:val="single" w:sz="4" w:color="CBD5E1"/>
              <w:right w:val="single" w:sz="4" w:color="CBD5E1"/>
            </w:tcBorders>
            <w:tcW w:w="2500" w:type="dxa"/>
          </w:tcPr>
          <w:p>
            <w:pPr>
              <w:spacing w:after="40"/>
            </w:pPr>
            <w:r>
              <w:t xml:space="preserve">&lt;w:p&gt;&lt;w:pPr&gt;&lt;w:spacing w:after="40"/&gt;&lt;/w:pPr&gt;&lt;w:r&gt;&lt;w:t xml:space="preserve"&gt;________________________________________&lt;/w:t&gt;&lt;/w:r&gt;&lt;/w:p&gt;</w:t>
            </w:r>
          </w:p>
        </w:tc>
        <w:tc>
          <w:tcPr>
            <w:tcBorders>
              <w:top w:val="single" w:sz="4" w:color="CBD5E1"/>
              <w:left w:val="single" w:sz="4" w:color="CBD5E1"/>
              <w:bottom w:val="single" w:sz="4" w:color="CBD5E1"/>
              <w:right w:val="single" w:sz="4" w:color="CBD5E1"/>
            </w:tcBorders>
            <w:tcW w:w="2500" w:type="dxa"/>
          </w:tcPr>
          <w:p>
            <w:pPr>
              <w:spacing w:after="40"/>
            </w:pPr>
            <w:r>
              <w:t xml:space="preserve">&lt;w:p&gt;&lt;w:pPr&gt;&lt;w:spacing w:after="40"/&gt;&lt;/w:pPr&gt;&lt;w:r&gt;&lt;w:t xml:space="preserve"&gt;________________________________________&lt;/w:t&gt;&lt;/w:r&gt;&lt;/w:p&gt;</w:t>
            </w:r>
          </w:p>
        </w:tc>
      </w:tr>
    </w:tbl>
    <w:p>
      <w:pPr>
        <w:spacing w:after="80"/>
      </w:pPr>
    </w:p>
    <w:p>
      <w:pPr>
        <w:pStyle w:val="Heading1"/>
        <w:spacing w:after="160"/>
      </w:pPr>
      <w:r>
        <w:t xml:space="preserve">4. İş Sonrası Kapanış (Yangın Gözcüsü)</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Çalışma bitiş saati</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Gözetim bitiş saati (≥ 30 dk sonra)</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Alan temiz / kıvılcım-kor kalmadı</w:t>
            </w:r>
          </w:p>
        </w:tc>
        <w:tc>
          <w:tcPr>
            <w:tcBorders>
              <w:top w:val="single" w:sz="4" w:color="CBD5E1"/>
              <w:left w:val="single" w:sz="4" w:color="CBD5E1"/>
              <w:bottom w:val="single" w:sz="4" w:color="CBD5E1"/>
              <w:right w:val="single" w:sz="4" w:color="CBD5E1"/>
            </w:tcBorders>
            <w:tcW w:w="6000" w:type="dxa"/>
          </w:tcPr>
          <w:p>
            <w:pPr>
              <w:spacing w:after="40"/>
            </w:pPr>
            <w:r>
              <w:t xml:space="preserve">☐ Evet   ☐ Hayır</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İzin kapatıldı (imza)</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bl>
    <w:p>
      <w:pPr>
        <w:spacing w:after="80"/>
      </w:pPr>
    </w:p>
    <w:p>
      <w:r>
        <w:br w:type="page"/>
      </w:r>
    </w:p>
    <w:p>
      <w:pPr>
        <w:spacing w:after="60"/>
      </w:pPr>
      <w:r>
        <w:rPr>
          <w:b/>
          <w:color w:val="2563EB"/>
          <w:sz w:val="26"/>
          <w:szCs w:val="26"/>
        </w:rPr>
        <w:t xml:space="preserve">İŞLENMİŞ ÖRNEK — FABRİKA İÇİNDE BORU KAYNAĞI</w:t>
      </w:r>
    </w:p>
    <w:p>
      <w:pPr>
        <w:spacing w:after="240"/>
      </w:pPr>
      <w:r>
        <w:rPr>
          <w:i/>
          <w:sz w:val="18"/>
          <w:szCs w:val="18"/>
        </w:rPr>
        <w:t xml:space="preserve">Aşağıdaki örnek, formun nasıl doldurulacağını göstermek içindir; kendi izninizi 1. sayfadaki boş forma işleyin.</w:t>
      </w:r>
    </w:p>
    <w:p>
      <w:pPr>
        <w:pStyle w:val="Heading1"/>
        <w:spacing w:after="160"/>
      </w:pPr>
      <w:r>
        <w:t xml:space="preserve">1. İş ve Yer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İzin no</w:t>
            </w:r>
          </w:p>
        </w:tc>
        <w:tc>
          <w:tcPr>
            <w:tcBorders>
              <w:top w:val="single" w:sz="4" w:color="CBD5E1"/>
              <w:left w:val="single" w:sz="4" w:color="CBD5E1"/>
              <w:bottom w:val="single" w:sz="4" w:color="CBD5E1"/>
              <w:right w:val="single" w:sz="4" w:color="CBD5E1"/>
            </w:tcBorders>
            <w:tcW w:w="6000" w:type="dxa"/>
          </w:tcPr>
          <w:p>
            <w:pPr>
              <w:spacing w:after="40"/>
            </w:pPr>
            <w:r>
              <w:t xml:space="preserve">SCİ-2026-014</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 bölüm</w:t>
            </w:r>
          </w:p>
        </w:tc>
        <w:tc>
          <w:tcPr>
            <w:tcBorders>
              <w:top w:val="single" w:sz="4" w:color="CBD5E1"/>
              <w:left w:val="single" w:sz="4" w:color="CBD5E1"/>
              <w:bottom w:val="single" w:sz="4" w:color="CBD5E1"/>
              <w:right w:val="single" w:sz="4" w:color="CBD5E1"/>
            </w:tcBorders>
            <w:tcW w:w="6000" w:type="dxa"/>
          </w:tcPr>
          <w:p>
            <w:pPr>
              <w:spacing w:after="40"/>
            </w:pPr>
            <w:r>
              <w:t xml:space="preserve">Örnek 1 Metal San. — Bakım atölyesi</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Çalışmanın yapılacağı yer</w:t>
            </w:r>
          </w:p>
        </w:tc>
        <w:tc>
          <w:tcPr>
            <w:tcBorders>
              <w:top w:val="single" w:sz="4" w:color="CBD5E1"/>
              <w:left w:val="single" w:sz="4" w:color="CBD5E1"/>
              <w:bottom w:val="single" w:sz="4" w:color="CBD5E1"/>
              <w:right w:val="single" w:sz="4" w:color="CBD5E1"/>
            </w:tcBorders>
            <w:tcW w:w="6000" w:type="dxa"/>
          </w:tcPr>
          <w:p>
            <w:pPr>
              <w:spacing w:after="40"/>
            </w:pPr>
            <w:r>
              <w:t xml:space="preserve">2 no'lu üretim hattı, kondens hattı</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Yapılacak iş</w:t>
            </w:r>
          </w:p>
        </w:tc>
        <w:tc>
          <w:tcPr>
            <w:tcBorders>
              <w:top w:val="single" w:sz="4" w:color="CBD5E1"/>
              <w:left w:val="single" w:sz="4" w:color="CBD5E1"/>
              <w:bottom w:val="single" w:sz="4" w:color="CBD5E1"/>
              <w:right w:val="single" w:sz="4" w:color="CBD5E1"/>
            </w:tcBorders>
            <w:tcW w:w="6000" w:type="dxa"/>
          </w:tcPr>
          <w:p>
            <w:pPr>
              <w:spacing w:after="40"/>
            </w:pPr>
            <w:r>
              <w:t xml:space="preserve">Paslı çelik borunun kesilip yeniden kaynaklanması</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İşi yapacak kişi</w:t>
            </w:r>
          </w:p>
        </w:tc>
        <w:tc>
          <w:tcPr>
            <w:tcBorders>
              <w:top w:val="single" w:sz="4" w:color="CBD5E1"/>
              <w:left w:val="single" w:sz="4" w:color="CBD5E1"/>
              <w:bottom w:val="single" w:sz="4" w:color="CBD5E1"/>
              <w:right w:val="single" w:sz="4" w:color="CBD5E1"/>
            </w:tcBorders>
            <w:tcW w:w="6000" w:type="dxa"/>
          </w:tcPr>
          <w:p>
            <w:pPr>
              <w:spacing w:after="40"/>
            </w:pPr>
            <w:r>
              <w:t xml:space="preserve">Mehmet K. (kaynakçı, EN ISO 9606 belgeli)</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İzin geçerliliği</w:t>
            </w:r>
          </w:p>
        </w:tc>
        <w:tc>
          <w:tcPr>
            <w:tcBorders>
              <w:top w:val="single" w:sz="4" w:color="CBD5E1"/>
              <w:left w:val="single" w:sz="4" w:color="CBD5E1"/>
              <w:bottom w:val="single" w:sz="4" w:color="CBD5E1"/>
              <w:right w:val="single" w:sz="4" w:color="CBD5E1"/>
            </w:tcBorders>
            <w:tcW w:w="6000" w:type="dxa"/>
          </w:tcPr>
          <w:p>
            <w:pPr>
              <w:spacing w:after="40"/>
            </w:pPr>
            <w:r>
              <w:t xml:space="preserve">12.06.2026 — 09:00 / 12:00</w:t>
            </w:r>
          </w:p>
        </w:tc>
      </w:tr>
    </w:tbl>
    <w:p>
      <w:pPr>
        <w:spacing w:after="80"/>
      </w:pPr>
    </w:p>
    <w:p>
      <w:pPr>
        <w:pStyle w:val="Heading1"/>
        <w:spacing w:after="160"/>
      </w:pPr>
      <w:r>
        <w:t xml:space="preserve">2. Kontrol Listesinden Notlar</w:t>
      </w:r>
    </w:p>
    <w:tbl>
      <w:tblPr>
        <w:tblW w:w="0" w:type="auto"/>
        <w:tblLayout w:type="fixed"/>
      </w:tblPr>
      <w:tblGrid>
        <w:gridCol w:w="4200"/>
        <w:gridCol w:w="5200"/>
      </w:tblGrid>
      <w:tr>
        <w:tc>
          <w:tcPr>
            <w:tcBorders>
              <w:top w:val="single" w:sz="4" w:color="CBD5E1"/>
              <w:left w:val="single" w:sz="4" w:color="CBD5E1"/>
              <w:bottom w:val="single" w:sz="4" w:color="CBD5E1"/>
              <w:right w:val="single" w:sz="4" w:color="CBD5E1"/>
            </w:tcBorders>
            <w:tcW w:w="4200" w:type="dxa"/>
            <w:shd w:val="clear" w:color="auto" w:fill="2563EB"/>
          </w:tcPr>
          <w:p>
            <w:pPr>
              <w:spacing w:after="40"/>
            </w:pPr>
            <w:r>
              <w:rPr>
                <w:b/>
                <w:color w:val="FFFFFF"/>
              </w:rPr>
              <w:t xml:space="preserve">Kontrol noktası</w:t>
            </w:r>
          </w:p>
        </w:tc>
        <w:tc>
          <w:tcPr>
            <w:tcBorders>
              <w:top w:val="single" w:sz="4" w:color="CBD5E1"/>
              <w:left w:val="single" w:sz="4" w:color="CBD5E1"/>
              <w:bottom w:val="single" w:sz="4" w:color="CBD5E1"/>
              <w:right w:val="single" w:sz="4" w:color="CBD5E1"/>
            </w:tcBorders>
            <w:tcW w:w="5200" w:type="dxa"/>
            <w:shd w:val="clear" w:color="auto" w:fill="2563EB"/>
          </w:tcPr>
          <w:p>
            <w:pPr>
              <w:spacing w:after="40"/>
            </w:pPr>
            <w:r>
              <w:rPr>
                <w:b/>
                <w:color w:val="FFFFFF"/>
              </w:rPr>
              <w:t xml:space="preserve">Durum</w:t>
            </w:r>
          </w:p>
        </w:tc>
      </w:tr>
      <w:tr>
        <w:tc>
          <w:tcPr>
            <w:tcBorders>
              <w:top w:val="single" w:sz="4" w:color="CBD5E1"/>
              <w:left w:val="single" w:sz="4" w:color="CBD5E1"/>
              <w:bottom w:val="single" w:sz="4" w:color="CBD5E1"/>
              <w:right w:val="single" w:sz="4" w:color="CBD5E1"/>
            </w:tcBorders>
            <w:tcW w:w="4200" w:type="dxa"/>
          </w:tcPr>
          <w:p>
            <w:pPr>
              <w:spacing w:after="40"/>
            </w:pPr>
            <w:r>
              <w:t xml:space="preserve">Yanıcı maddeler (yağ bezi, palet)</w:t>
            </w:r>
          </w:p>
        </w:tc>
        <w:tc>
          <w:tcPr>
            <w:tcBorders>
              <w:top w:val="single" w:sz="4" w:color="CBD5E1"/>
              <w:left w:val="single" w:sz="4" w:color="CBD5E1"/>
              <w:bottom w:val="single" w:sz="4" w:color="CBD5E1"/>
              <w:right w:val="single" w:sz="4" w:color="CBD5E1"/>
            </w:tcBorders>
            <w:tcW w:w="5200" w:type="dxa"/>
          </w:tcPr>
          <w:p>
            <w:pPr>
              <w:spacing w:after="40"/>
            </w:pPr>
            <w:r>
              <w:t xml:space="preserve">Uzaklaştırıldı; hat altı yanmaz örtüyle kapatıldı</w:t>
            </w:r>
          </w:p>
        </w:tc>
      </w:tr>
      <w:tr>
        <w:tc>
          <w:tcPr>
            <w:tcBorders>
              <w:top w:val="single" w:sz="4" w:color="CBD5E1"/>
              <w:left w:val="single" w:sz="4" w:color="CBD5E1"/>
              <w:bottom w:val="single" w:sz="4" w:color="CBD5E1"/>
              <w:right w:val="single" w:sz="4" w:color="CBD5E1"/>
            </w:tcBorders>
            <w:tcW w:w="4200" w:type="dxa"/>
          </w:tcPr>
          <w:p>
            <w:pPr>
              <w:spacing w:after="40"/>
            </w:pPr>
            <w:r>
              <w:t xml:space="preserve">Ortam gaz ölçümü</w:t>
            </w:r>
          </w:p>
        </w:tc>
        <w:tc>
          <w:tcPr>
            <w:tcBorders>
              <w:top w:val="single" w:sz="4" w:color="CBD5E1"/>
              <w:left w:val="single" w:sz="4" w:color="CBD5E1"/>
              <w:bottom w:val="single" w:sz="4" w:color="CBD5E1"/>
              <w:right w:val="single" w:sz="4" w:color="CBD5E1"/>
            </w:tcBorders>
            <w:tcW w:w="5200" w:type="dxa"/>
          </w:tcPr>
          <w:p>
            <w:pPr>
              <w:spacing w:after="40"/>
            </w:pPr>
            <w:r>
              <w:t xml:space="preserve">LEL %0 — uygun</w:t>
            </w:r>
          </w:p>
        </w:tc>
      </w:tr>
      <w:tr>
        <w:tc>
          <w:tcPr>
            <w:tcBorders>
              <w:top w:val="single" w:sz="4" w:color="CBD5E1"/>
              <w:left w:val="single" w:sz="4" w:color="CBD5E1"/>
              <w:bottom w:val="single" w:sz="4" w:color="CBD5E1"/>
              <w:right w:val="single" w:sz="4" w:color="CBD5E1"/>
            </w:tcBorders>
            <w:tcW w:w="4200" w:type="dxa"/>
          </w:tcPr>
          <w:p>
            <w:pPr>
              <w:spacing w:after="40"/>
            </w:pPr>
            <w:r>
              <w:t xml:space="preserve">Yangın söndürücü</w:t>
            </w:r>
          </w:p>
        </w:tc>
        <w:tc>
          <w:tcPr>
            <w:tcBorders>
              <w:top w:val="single" w:sz="4" w:color="CBD5E1"/>
              <w:left w:val="single" w:sz="4" w:color="CBD5E1"/>
              <w:bottom w:val="single" w:sz="4" w:color="CBD5E1"/>
              <w:right w:val="single" w:sz="4" w:color="CBD5E1"/>
            </w:tcBorders>
            <w:tcW w:w="5200" w:type="dxa"/>
          </w:tcPr>
          <w:p>
            <w:pPr>
              <w:spacing w:after="40"/>
            </w:pPr>
            <w:r>
              <w:t xml:space="preserve">6 kg KKT, çalışma noktasında</w:t>
            </w:r>
          </w:p>
        </w:tc>
      </w:tr>
      <w:tr>
        <w:tc>
          <w:tcPr>
            <w:tcBorders>
              <w:top w:val="single" w:sz="4" w:color="CBD5E1"/>
              <w:left w:val="single" w:sz="4" w:color="CBD5E1"/>
              <w:bottom w:val="single" w:sz="4" w:color="CBD5E1"/>
              <w:right w:val="single" w:sz="4" w:color="CBD5E1"/>
            </w:tcBorders>
            <w:tcW w:w="4200" w:type="dxa"/>
          </w:tcPr>
          <w:p>
            <w:pPr>
              <w:spacing w:after="40"/>
            </w:pPr>
            <w:r>
              <w:t xml:space="preserve">Yangın gözcüsü</w:t>
            </w:r>
          </w:p>
        </w:tc>
        <w:tc>
          <w:tcPr>
            <w:tcBorders>
              <w:top w:val="single" w:sz="4" w:color="CBD5E1"/>
              <w:left w:val="single" w:sz="4" w:color="CBD5E1"/>
              <w:bottom w:val="single" w:sz="4" w:color="CBD5E1"/>
              <w:right w:val="single" w:sz="4" w:color="CBD5E1"/>
            </w:tcBorders>
            <w:tcW w:w="5200" w:type="dxa"/>
          </w:tcPr>
          <w:p>
            <w:pPr>
              <w:spacing w:after="40"/>
            </w:pPr>
            <w:r>
              <w:t xml:space="preserve">Görevli: Ali T.; bitişten 30 dk sonrasına kadar</w:t>
            </w:r>
          </w:p>
        </w:tc>
      </w:tr>
      <w:tr>
        <w:tc>
          <w:tcPr>
            <w:tcBorders>
              <w:top w:val="single" w:sz="4" w:color="CBD5E1"/>
              <w:left w:val="single" w:sz="4" w:color="CBD5E1"/>
              <w:bottom w:val="single" w:sz="4" w:color="CBD5E1"/>
              <w:right w:val="single" w:sz="4" w:color="CBD5E1"/>
            </w:tcBorders>
            <w:tcW w:w="4200" w:type="dxa"/>
          </w:tcPr>
          <w:p>
            <w:pPr>
              <w:spacing w:after="40"/>
            </w:pPr>
            <w:r>
              <w:t xml:space="preserve">KKD</w:t>
            </w:r>
          </w:p>
        </w:tc>
        <w:tc>
          <w:tcPr>
            <w:tcBorders>
              <w:top w:val="single" w:sz="4" w:color="CBD5E1"/>
              <w:left w:val="single" w:sz="4" w:color="CBD5E1"/>
              <w:bottom w:val="single" w:sz="4" w:color="CBD5E1"/>
              <w:right w:val="single" w:sz="4" w:color="CBD5E1"/>
            </w:tcBorders>
            <w:tcW w:w="5200" w:type="dxa"/>
          </w:tcPr>
          <w:p>
            <w:pPr>
              <w:spacing w:after="40"/>
            </w:pPr>
            <w:r>
              <w:t xml:space="preserve">Otomatik kararan maske, deri önlük, kaynak eldiveni</w:t>
            </w:r>
          </w:p>
        </w:tc>
      </w:tr>
    </w:tbl>
    <w:p>
      <w:pPr>
        <w:spacing w:after="80"/>
      </w:pPr>
    </w:p>
    <w:p>
      <w:pPr>
        <w:spacing w:after="120"/>
      </w:pPr>
      <w:r>
        <w:rPr>
          <w:i/>
          <w:sz w:val="18"/>
          <w:szCs w:val="18"/>
        </w:rPr>
        <w:t xml:space="preserve">Çalışma 11:40'ta bitti; gözcü 12:10'a kadar alanı izledi, kor kalmadığını doğrulayıp izni kapattı.</w:t>
      </w:r>
    </w:p>
    <w:p>
      <w:pPr>
        <w:spacing w:after="0"/>
      </w:pPr>
      <w:r>
        <w:rPr>
          <w:i/>
          <w:color w:val="64748B"/>
          <w:sz w:val="16"/>
          <w:szCs w:val="16"/>
        </w:rPr>
        <w:t xml:space="preserve">Bu şablon First İSG tarafından hazırlanmıştır — rehber: firstisg.com/kilavuzlar/is-izin-sistemi · İş izinlerini, gaz ölçüm kayıtlarını ve gözcü onaylarını tek panelde takip edin: app.firstisg.com/signup · Son güncelleme: 2026-06-24</w:t>
      </w:r>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cs="Calibri"/>
        <w:sz w:val="21"/>
        <w:szCs w:val="21"/>
      </w:rPr>
    </w:rPrDefault>
  </w:docDefaults>
  <w:style w:type="paragraph" w:default="1" w:styleId="Normal">
    <w:name w:val="Normal"/>
  </w:style>
  <w:style w:type="paragraph" w:styleId="Heading1">
    <w:name w:val="heading 1"/>
    <w:basedOn w:val="Normal"/>
    <w:pPr>
      <w:spacing w:before="280" w:after="160"/>
      <w:outlineLvl w:val="0"/>
    </w:pPr>
    <w:rPr>
      <w:b/>
      <w:color w:val="2563EB"/>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