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24000" cy="119553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195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2563EB"/>
          <w:sz w:val="16"/>
        </w:rPr>
        <w:t>FirstİSG · firstisg.com</w:t>
      </w:r>
    </w:p>
    <w:p>
      <w:pPr>
        <w:pStyle w:val="Heading1"/>
        <w:jc w:val="center"/>
      </w:pPr>
      <w:r>
        <w:t>Psikososyal Risk Değerlendirme Formu</w:t>
      </w:r>
    </w:p>
    <w:p>
      <w:pPr>
        <w:jc w:val="center"/>
      </w:pPr>
      <w:r>
        <w:rPr>
          <w:i/>
          <w:sz w:val="18"/>
        </w:rPr>
        <w:t>Anket bulgusunu risk değerlendirmesine ve aksiyona bağlayan form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</w:tcPr>
          <w:p>
            <w:r>
              <w:rPr>
                <w:b/>
              </w:rPr>
              <w:t>İşyeri / birim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Değerlendirme tarihi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Katılımcı sayısı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Veri toplama yöntemi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Değerlendirmeyi yapan ekip</w:t>
            </w:r>
          </w:p>
        </w:tc>
        <w:tc>
          <w:tcPr>
            <w:tcW w:type="dxa" w:w="5043"/>
          </w:tcPr>
          <w:p>
            <w:r/>
          </w:p>
        </w:tc>
      </w:tr>
    </w:tbl>
    <w:p/>
    <w:p>
      <w:pPr>
        <w:pStyle w:val="Heading2"/>
      </w:pPr>
      <w:r>
        <w:t>1. Alan bazında bulgular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</w:tcPr>
          <w:p>
            <w:r>
              <w:rPr>
                <w:b/>
              </w:rPr>
              <w:t>Alan</w:t>
            </w:r>
          </w:p>
        </w:tc>
        <w:tc>
          <w:tcPr>
            <w:tcW w:type="dxa" w:w="2521"/>
          </w:tcPr>
          <w:p>
            <w:r>
              <w:rPr>
                <w:b/>
              </w:rPr>
              <w:t>Ortalama</w:t>
            </w:r>
          </w:p>
        </w:tc>
        <w:tc>
          <w:tcPr>
            <w:tcW w:type="dxa" w:w="2521"/>
          </w:tcPr>
          <w:p>
            <w:r>
              <w:rPr>
                <w:b/>
              </w:rPr>
              <w:t>Risk düzeyi</w:t>
            </w:r>
          </w:p>
        </w:tc>
        <w:tc>
          <w:tcPr>
            <w:tcW w:type="dxa" w:w="2521"/>
          </w:tcPr>
          <w:p>
            <w:r>
              <w:rPr>
                <w:b/>
              </w:rPr>
              <w:t>Öne çıkan bulgu</w:t>
            </w:r>
          </w:p>
        </w:tc>
      </w:tr>
      <w:tr>
        <w:tc>
          <w:tcPr>
            <w:tcW w:type="dxa" w:w="2521"/>
          </w:tcPr>
          <w:p>
            <w:r>
              <w:t>İş yükü ve tempo</w:t>
            </w:r>
          </w:p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>
            <w:r>
              <w:t>Kontrol ve söz hakkı</w:t>
            </w:r>
          </w:p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>
            <w:r>
              <w:t>Rol açıklığı</w:t>
            </w:r>
          </w:p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>
            <w:r>
              <w:t>Yönetici desteği</w:t>
            </w:r>
          </w:p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>
            <w:r>
              <w:t>Ekip ilişkileri</w:t>
            </w:r>
          </w:p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>
            <w:r>
              <w:t>Değişim yönetimi</w:t>
            </w:r>
          </w:p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>
            <w:r>
              <w:t>İş-yaşam dengesi</w:t>
            </w:r>
          </w:p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>
            <w:r>
              <w:t>Şiddet, taciz ve ayrımcılık</w:t>
            </w:r>
          </w:p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</w:tbl>
    <w:p/>
    <w:p>
      <w:pPr>
        <w:pStyle w:val="Heading2"/>
      </w:pPr>
      <w:r>
        <w:t>2. Risk değerlendirmesine işlenecek tehlikeler</w:t>
      </w:r>
    </w:p>
    <w:p>
      <w:r>
        <w:t>Psikososyal bulgular ayrı bir dosyada kalmamalı; mevcut risk değerlendirmesine tehlike satırı olarak işlenir ve aynı yöntemle puanlanır.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</w:tcPr>
          <w:p>
            <w:r>
              <w:rPr>
                <w:b/>
              </w:rPr>
              <w:t>Tehlike (bulgudan)</w:t>
            </w:r>
          </w:p>
        </w:tc>
        <w:tc>
          <w:tcPr>
            <w:tcW w:type="dxa" w:w="2521"/>
          </w:tcPr>
          <w:p>
            <w:r>
              <w:rPr>
                <w:b/>
              </w:rPr>
              <w:t>Etkilenen grup</w:t>
            </w:r>
          </w:p>
        </w:tc>
        <w:tc>
          <w:tcPr>
            <w:tcW w:type="dxa" w:w="2521"/>
          </w:tcPr>
          <w:p>
            <w:r>
              <w:rPr>
                <w:b/>
              </w:rPr>
              <w:t>Mevcut önlem</w:t>
            </w:r>
          </w:p>
        </w:tc>
        <w:tc>
          <w:tcPr>
            <w:tcW w:type="dxa" w:w="2521"/>
          </w:tcPr>
          <w:p>
            <w:r>
              <w:rPr>
                <w:b/>
              </w:rPr>
              <w:t>Puan</w:t>
            </w:r>
          </w:p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</w:tbl>
    <w:p/>
    <w:p>
      <w:pPr>
        <w:pStyle w:val="Heading2"/>
      </w:pPr>
      <w:r>
        <w:t>3. Aksiyon planı (DÖF)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</w:tcPr>
          <w:p>
            <w:r>
              <w:rPr>
                <w:b/>
              </w:rPr>
              <w:t>Faaliyet</w:t>
            </w:r>
          </w:p>
        </w:tc>
        <w:tc>
          <w:tcPr>
            <w:tcW w:type="dxa" w:w="2521"/>
          </w:tcPr>
          <w:p>
            <w:r>
              <w:rPr>
                <w:b/>
              </w:rPr>
              <w:t>Sorumlu</w:t>
            </w:r>
          </w:p>
        </w:tc>
        <w:tc>
          <w:tcPr>
            <w:tcW w:type="dxa" w:w="2521"/>
          </w:tcPr>
          <w:p>
            <w:r>
              <w:rPr>
                <w:b/>
              </w:rPr>
              <w:t>Termin</w:t>
            </w:r>
          </w:p>
        </w:tc>
        <w:tc>
          <w:tcPr>
            <w:tcW w:type="dxa" w:w="2521"/>
          </w:tcPr>
          <w:p>
            <w:r>
              <w:rPr>
                <w:b/>
              </w:rPr>
              <w:t>DÖF no</w:t>
            </w:r>
          </w:p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  <w:tc>
          <w:tcPr>
            <w:tcW w:type="dxa" w:w="2521"/>
          </w:tcPr>
          <w:p/>
        </w:tc>
      </w:tr>
    </w:tbl>
    <w:p/>
    <w:p>
      <w:pPr>
        <w:pStyle w:val="Heading2"/>
      </w:pPr>
      <w:r>
        <w:t>4. Gizlilik ve geri bildirim</w:t>
      </w:r>
    </w:p>
    <w:p>
      <w:pPr>
        <w:pStyle w:val="ListBullet"/>
      </w:pPr>
      <w:r>
        <w:t>Anketler anonimdir; birim bazında en az 8 katılımcı olmadan raporlanmaz.</w:t>
      </w:r>
    </w:p>
    <w:p>
      <w:pPr>
        <w:pStyle w:val="ListBullet"/>
      </w:pPr>
      <w:r>
        <w:t>Ham cevaplar yönetici ile paylaşılmaz; yalnız alan ortalamaları raporlanır.</w:t>
      </w:r>
    </w:p>
    <w:p>
      <w:pPr>
        <w:pStyle w:val="ListBullet"/>
      </w:pPr>
      <w:r>
        <w:t>Sonuçlar ve alınacak aksiyonlar çalışanlara geri bildirilir — geri bildirim yapılmayan anket bir sonraki turda katılım kaybeder.</w:t>
      </w:r>
    </w:p>
    <w:p>
      <w:pPr>
        <w:pStyle w:val="ListBullet"/>
      </w:pPr>
      <w:r>
        <w:t>Şiddet/taciz alanında yüksek risk çıkarsa, bildirim yolunun işlediği ayrıca kontrol edilir.</w:t>
      </w:r>
    </w:p>
    <w:p>
      <w:r>
        <w:rPr>
          <w:b/>
          <w:sz w:val="18"/>
        </w:rPr>
        <w:t>Not: Bu form ve ekindeki anket bir tarama aracıdır; klinik değerlendirme veya psikometrik geçerlilik iddiası taşımaz. Bireysel sağlık durumu, işyeri hekiminin değerlendirme alanındadır.</w:t>
      </w:r>
    </w:p>
    <w:p/>
    <w:p>
      <w:pPr>
        <w:jc w:val="center"/>
      </w:pPr>
      <w:r>
        <w:rPr>
          <w:color w:val="2563EB"/>
          <w:sz w:val="16"/>
        </w:rPr>
        <w:t>Bu şablon FirstİSG tarafından hazırlanmıştır · firstisg.com/kilavuzlar/psikososyal-risk-degerlendirmesi</w:t>
      </w:r>
    </w:p>
    <w:sectPr w:rsidR="00FC693F" w:rsidRPr="0006063C" w:rsidSect="00034616">
      <w:pgSz w:w="12240" w:h="15840"/>
      <w:pgMar w:top="907" w:right="1077" w:bottom="90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