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60"/>
      </w:pPr>
      <w:r>
        <w:rPr>
          <w:b/>
          <w:color w:val="2563EB"/>
          <w:sz w:val="32"/>
          <w:szCs w:val="32"/>
        </w:rPr>
        <w:t xml:space="preserve">İŞ SAĞLIĞI VE GÜVENLİĞİ HİZMET SÖZLEŞMESİ</w:t>
      </w:r>
    </w:p>
    <w:p>
      <w:pPr>
        <w:spacing w:after="200"/>
      </w:pPr>
      <w:r>
        <w:rPr>
          <w:i/>
          <w:color w:val="64748B"/>
        </w:rPr>
        <w:t xml:space="preserve">(OSGB — İşyeri | İskelet / Örnek Belge)</w:t>
      </w:r>
    </w:p>
    <w:p>
      <w:pPr>
        <w:pStyle w:val="Heading1"/>
        <w:spacing w:after="160"/>
      </w:pPr>
      <w:r>
        <w:t xml:space="preserve">1. Taraflar ve İşyeri Bilgileri</w:t>
      </w:r>
    </w:p>
    <w:tbl>
      <w:tblPr>
        <w:tblW w:w="0" w:type="auto"/>
      </w:tblPr>
      <w:tr>
        <w:tc>
          <w:tcPr>
            <w:tcBorders>
              <w:top w:val="single" w:sz="4" w:color="CBD5E1"/>
              <w:left w:val="single" w:sz="4" w:color="CBD5E1"/>
              <w:bottom w:val="single" w:sz="4" w:color="CBD5E1"/>
              <w:right w:val="single" w:sz="4" w:color="CBD5E1"/>
            </w:tcBorders>
            <w:tcW w:w="2600" w:type="dxa"/>
            <w:shd w:val="clear" w:fill="2563EB"/>
          </w:tcPr>
          <w:p>
            <w:pPr>
              <w:spacing w:after="40"/>
            </w:pPr>
            <w:r>
              <w:rPr>
                <w:b/>
                <w:color w:val="FFFFFF"/>
              </w:rPr>
              <w:t xml:space="preserve">Alan</w:t>
            </w:r>
          </w:p>
        </w:tc>
        <w:tc>
          <w:tcPr>
            <w:tcBorders>
              <w:top w:val="single" w:sz="4" w:color="CBD5E1"/>
              <w:left w:val="single" w:sz="4" w:color="CBD5E1"/>
              <w:bottom w:val="single" w:sz="4" w:color="CBD5E1"/>
              <w:right w:val="single" w:sz="4" w:color="CBD5E1"/>
            </w:tcBorders>
            <w:tcW w:w="3300" w:type="dxa"/>
            <w:shd w:val="clear" w:fill="2563EB"/>
          </w:tcPr>
          <w:p>
            <w:pPr>
              <w:spacing w:after="40"/>
            </w:pPr>
            <w:r>
              <w:rPr>
                <w:b/>
                <w:color w:val="FFFFFF"/>
              </w:rPr>
              <w:t xml:space="preserve">Hizmeti Veren (OSGB)</w:t>
            </w:r>
          </w:p>
        </w:tc>
        <w:tc>
          <w:tcPr>
            <w:tcBorders>
              <w:top w:val="single" w:sz="4" w:color="CBD5E1"/>
              <w:left w:val="single" w:sz="4" w:color="CBD5E1"/>
              <w:bottom w:val="single" w:sz="4" w:color="CBD5E1"/>
              <w:right w:val="single" w:sz="4" w:color="CBD5E1"/>
            </w:tcBorders>
            <w:tcW w:w="3300" w:type="dxa"/>
            <w:shd w:val="clear" w:fill="2563EB"/>
          </w:tcPr>
          <w:p>
            <w:pPr>
              <w:spacing w:after="40"/>
            </w:pPr>
            <w:r>
              <w:rPr>
                <w:b/>
                <w:color w:val="FFFFFF"/>
              </w:rPr>
              <w:t xml:space="preserve">Hizmeti Alan (İşveren)</w:t>
            </w:r>
          </w:p>
        </w:tc>
      </w:tr>
      <w:tr>
        <w:tc>
          <w:tcPr>
            <w:tcBorders>
              <w:top w:val="single" w:sz="4" w:color="CBD5E1"/>
              <w:left w:val="single" w:sz="4" w:color="CBD5E1"/>
              <w:bottom w:val="single" w:sz="4" w:color="CBD5E1"/>
              <w:right w:val="single" w:sz="4" w:color="CBD5E1"/>
            </w:tcBorders>
            <w:tcW w:w="2600" w:type="dxa"/>
          </w:tcPr>
          <w:p>
            <w:pPr>
              <w:spacing w:after="40"/>
            </w:pPr>
            <w:r>
              <w:t xml:space="preserve">Unvan</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r>
      <w:tr>
        <w:tc>
          <w:tcPr>
            <w:tcBorders>
              <w:top w:val="single" w:sz="4" w:color="CBD5E1"/>
              <w:left w:val="single" w:sz="4" w:color="CBD5E1"/>
              <w:bottom w:val="single" w:sz="4" w:color="CBD5E1"/>
              <w:right w:val="single" w:sz="4" w:color="CBD5E1"/>
            </w:tcBorders>
            <w:tcW w:w="2600" w:type="dxa"/>
          </w:tcPr>
          <w:p>
            <w:pPr>
              <w:spacing w:after="40"/>
            </w:pPr>
            <w:r>
              <w:t xml:space="preserve">Adres</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r>
      <w:tr>
        <w:tc>
          <w:tcPr>
            <w:tcBorders>
              <w:top w:val="single" w:sz="4" w:color="CBD5E1"/>
              <w:left w:val="single" w:sz="4" w:color="CBD5E1"/>
              <w:bottom w:val="single" w:sz="4" w:color="CBD5E1"/>
              <w:right w:val="single" w:sz="4" w:color="CBD5E1"/>
            </w:tcBorders>
            <w:tcW w:w="2600" w:type="dxa"/>
          </w:tcPr>
          <w:p>
            <w:pPr>
              <w:spacing w:after="40"/>
            </w:pPr>
            <w:r>
              <w:t xml:space="preserve">Vergi / SGK sicil no</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r>
      <w:tr>
        <w:tc>
          <w:tcPr>
            <w:tcBorders>
              <w:top w:val="single" w:sz="4" w:color="CBD5E1"/>
              <w:left w:val="single" w:sz="4" w:color="CBD5E1"/>
              <w:bottom w:val="single" w:sz="4" w:color="CBD5E1"/>
              <w:right w:val="single" w:sz="4" w:color="CBD5E1"/>
            </w:tcBorders>
            <w:tcW w:w="2600" w:type="dxa"/>
          </w:tcPr>
          <w:p>
            <w:pPr>
              <w:spacing w:after="40"/>
            </w:pPr>
            <w:r>
              <w:t xml:space="preserve">Yetki belgesi no (OSGB)</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r>
      <w:tr>
        <w:tc>
          <w:tcPr>
            <w:tcBorders>
              <w:top w:val="single" w:sz="4" w:color="CBD5E1"/>
              <w:left w:val="single" w:sz="4" w:color="CBD5E1"/>
              <w:bottom w:val="single" w:sz="4" w:color="CBD5E1"/>
              <w:right w:val="single" w:sz="4" w:color="CBD5E1"/>
            </w:tcBorders>
            <w:tcW w:w="2600" w:type="dxa"/>
          </w:tcPr>
          <w:p>
            <w:pPr>
              <w:spacing w:after="40"/>
            </w:pPr>
            <w:r>
              <w:t xml:space="preserve">Yetkili kişi ve iletişim</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c>
          <w:tcPr>
            <w:tcBorders>
              <w:top w:val="single" w:sz="4" w:color="CBD5E1"/>
              <w:left w:val="single" w:sz="4" w:color="CBD5E1"/>
              <w:bottom w:val="single" w:sz="4" w:color="CBD5E1"/>
              <w:right w:val="single" w:sz="4" w:color="CBD5E1"/>
            </w:tcBorders>
            <w:tcW w:w="3300" w:type="dxa"/>
          </w:tcPr>
          <w:p>
            <w:pPr>
              <w:spacing w:after="40"/>
            </w:pPr>
            <w:r>
              <w:t xml:space="preserve">[.........................]</w:t>
            </w:r>
          </w:p>
        </w:tc>
      </w:tr>
    </w:tbl>
    <w:p>
      <w:pPr>
        <w:spacing w:after="120"/>
      </w:pPr>
      <w:r>
        <w:t xml:space="preserve"/>
      </w:r>
    </w:p>
    <w:p>
      <w:pPr>
        <w:spacing w:after="120"/>
      </w:pPr>
      <w:r>
        <w:rPr>
          <w:b/>
        </w:rPr>
        <w:t xml:space="preserve">İşyerinin NACE kodu / tehlike sınıfı: </w:t>
      </w:r>
      <w:r>
        <w:t xml:space="preserve">[.........................]</w:t>
      </w:r>
    </w:p>
    <w:p>
      <w:pPr>
        <w:spacing w:after="120"/>
      </w:pPr>
      <w:r>
        <w:rPr>
          <w:b/>
        </w:rPr>
        <w:t xml:space="preserve">Sözleşme tarihindeki çalışan sayısı: </w:t>
      </w:r>
      <w:r>
        <w:t xml:space="preserve">[.........................]</w:t>
      </w:r>
    </w:p>
    <w:p>
      <w:pPr>
        <w:pStyle w:val="Heading1"/>
        <w:spacing w:after="160"/>
      </w:pPr>
      <w:r>
        <w:t xml:space="preserve">2. Sözleşmenin Konusu ve Dayanağı</w:t>
      </w:r>
    </w:p>
    <w:p>
      <w:pPr>
        <w:spacing w:after="120"/>
      </w:pPr>
      <w:r>
        <w:t xml:space="preserve">İşbu sözleşme; 6331 sayılı İş Sağlığı ve Güvenliği Kanunu m.6 ve İş Sağlığı ve Güvenliği Hizmetleri Yönetmeliği kapsamında, işyerine iş güvenliği uzmanı, işyeri hekimi ve (gerekiyorsa) diğer sağlık personeli hizmeti sunulmasının kapsam ve şartlarını düzenler. Görevlendirmeler İSG-KATİP üzerinden ayrıca kayda alınır; İSG-KATİP kaydı bu sözleşmenin ticari hükümlerinin yerine geçmez.</w:t>
      </w:r>
    </w:p>
    <w:p>
      <w:pPr>
        <w:pStyle w:val="Heading1"/>
        <w:spacing w:after="160"/>
      </w:pPr>
      <w:r>
        <w:t xml:space="preserve">3. Hizmet Kapsamı ve Aylık Süre Taahhüdü</w:t>
      </w:r>
    </w:p>
    <w:tbl>
      <w:tblPr>
        <w:tblW w:w="0" w:type="auto"/>
      </w:tblPr>
      <w:tr>
        <w:tc>
          <w:tcPr>
            <w:tcBorders>
              <w:top w:val="single" w:sz="4" w:color="CBD5E1"/>
              <w:left w:val="single" w:sz="4" w:color="CBD5E1"/>
              <w:bottom w:val="single" w:sz="4" w:color="CBD5E1"/>
              <w:right w:val="single" w:sz="4" w:color="CBD5E1"/>
            </w:tcBorders>
            <w:tcW w:w="3200" w:type="dxa"/>
            <w:shd w:val="clear" w:fill="2563EB"/>
          </w:tcPr>
          <w:p>
            <w:pPr>
              <w:spacing w:after="40"/>
            </w:pPr>
            <w:r>
              <w:rPr>
                <w:b/>
                <w:color w:val="FFFFFF"/>
              </w:rPr>
              <w:t xml:space="preserve">Görev</w:t>
            </w:r>
          </w:p>
        </w:tc>
        <w:tc>
          <w:tcPr>
            <w:tcBorders>
              <w:top w:val="single" w:sz="4" w:color="CBD5E1"/>
              <w:left w:val="single" w:sz="4" w:color="CBD5E1"/>
              <w:bottom w:val="single" w:sz="4" w:color="CBD5E1"/>
              <w:right w:val="single" w:sz="4" w:color="CBD5E1"/>
            </w:tcBorders>
            <w:tcW w:w="2400" w:type="dxa"/>
            <w:shd w:val="clear" w:fill="2563EB"/>
          </w:tcPr>
          <w:p>
            <w:pPr>
              <w:spacing w:after="40"/>
            </w:pPr>
            <w:r>
              <w:rPr>
                <w:b/>
                <w:color w:val="FFFFFF"/>
              </w:rPr>
              <w:t xml:space="preserve">Aylık süre (dk)</w:t>
            </w:r>
          </w:p>
        </w:tc>
        <w:tc>
          <w:tcPr>
            <w:tcBorders>
              <w:top w:val="single" w:sz="4" w:color="CBD5E1"/>
              <w:left w:val="single" w:sz="4" w:color="CBD5E1"/>
              <w:bottom w:val="single" w:sz="4" w:color="CBD5E1"/>
              <w:right w:val="single" w:sz="4" w:color="CBD5E1"/>
            </w:tcBorders>
            <w:tcW w:w="3600" w:type="dxa"/>
            <w:shd w:val="clear" w:fill="2563EB"/>
          </w:tcPr>
          <w:p>
            <w:pPr>
              <w:spacing w:after="40"/>
            </w:pPr>
            <w:r>
              <w:rPr>
                <w:b/>
                <w:color w:val="FFFFFF"/>
              </w:rPr>
              <w:t xml:space="preserve">Görevlendirilen (ad / belge sınıfı)</w:t>
            </w:r>
          </w:p>
        </w:tc>
      </w:tr>
      <w:tr>
        <w:tc>
          <w:tcPr>
            <w:tcBorders>
              <w:top w:val="single" w:sz="4" w:color="CBD5E1"/>
              <w:left w:val="single" w:sz="4" w:color="CBD5E1"/>
              <w:bottom w:val="single" w:sz="4" w:color="CBD5E1"/>
              <w:right w:val="single" w:sz="4" w:color="CBD5E1"/>
            </w:tcBorders>
            <w:tcW w:w="3200" w:type="dxa"/>
          </w:tcPr>
          <w:p>
            <w:pPr>
              <w:spacing w:after="40"/>
            </w:pPr>
            <w:r>
              <w:t xml:space="preserve">İş güvenliği uzmanı</w:t>
            </w:r>
          </w:p>
        </w:tc>
        <w:tc>
          <w:tcPr>
            <w:tcBorders>
              <w:top w:val="single" w:sz="4" w:color="CBD5E1"/>
              <w:left w:val="single" w:sz="4" w:color="CBD5E1"/>
              <w:bottom w:val="single" w:sz="4" w:color="CBD5E1"/>
              <w:right w:val="single" w:sz="4" w:color="CBD5E1"/>
            </w:tcBorders>
            <w:tcW w:w="24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200" w:type="dxa"/>
          </w:tcPr>
          <w:p>
            <w:pPr>
              <w:spacing w:after="40"/>
            </w:pPr>
            <w:r>
              <w:t xml:space="preserve">İşyeri hekimi</w:t>
            </w:r>
          </w:p>
        </w:tc>
        <w:tc>
          <w:tcPr>
            <w:tcBorders>
              <w:top w:val="single" w:sz="4" w:color="CBD5E1"/>
              <w:left w:val="single" w:sz="4" w:color="CBD5E1"/>
              <w:bottom w:val="single" w:sz="4" w:color="CBD5E1"/>
              <w:right w:val="single" w:sz="4" w:color="CBD5E1"/>
            </w:tcBorders>
            <w:tcW w:w="24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200" w:type="dxa"/>
          </w:tcPr>
          <w:p>
            <w:pPr>
              <w:spacing w:after="40"/>
            </w:pPr>
            <w:r>
              <w:t xml:space="preserve">Diğer sağlık personeli</w:t>
            </w:r>
          </w:p>
        </w:tc>
        <w:tc>
          <w:tcPr>
            <w:tcBorders>
              <w:top w:val="single" w:sz="4" w:color="CBD5E1"/>
              <w:left w:val="single" w:sz="4" w:color="CBD5E1"/>
              <w:bottom w:val="single" w:sz="4" w:color="CBD5E1"/>
              <w:right w:val="single" w:sz="4" w:color="CBD5E1"/>
            </w:tcBorders>
            <w:tcW w:w="24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bl>
    <w:p>
      <w:pPr>
        <w:spacing w:after="120"/>
      </w:pPr>
      <w:r>
        <w:t xml:space="preserve"/>
      </w:r>
    </w:p>
    <w:p>
      <w:pPr>
        <w:spacing w:after="120"/>
      </w:pPr>
      <w:r>
        <w:t xml:space="preserve">Taahhüt edilen süreler, işyerinin tehlike sınıfı ve çalışan sayısına göre mevzuattaki asgari süre hükümlerinin altında kalamaz. Çalışan sayısı veya tehlike sınıfı değişirse işveren bu değişikliği [...] gün içinde yazılı bildirir; süre ve bedel takip eden fatura döneminde güncellenir.</w:t>
      </w:r>
    </w:p>
    <w:p>
      <w:pPr>
        <w:pStyle w:val="Heading1"/>
        <w:spacing w:after="160"/>
      </w:pPr>
      <w:r>
        <w:t xml:space="preserve">4. Dahil Olan / Hariç Kalan Hizmet Kalemleri</w:t>
      </w:r>
    </w:p>
    <w:tbl>
      <w:tblPr>
        <w:tblW w:w="0" w:type="auto"/>
      </w:tblPr>
      <w:tr>
        <w:tc>
          <w:tcPr>
            <w:tcBorders>
              <w:top w:val="single" w:sz="4" w:color="CBD5E1"/>
              <w:left w:val="single" w:sz="4" w:color="CBD5E1"/>
              <w:bottom w:val="single" w:sz="4" w:color="CBD5E1"/>
              <w:right w:val="single" w:sz="4" w:color="CBD5E1"/>
            </w:tcBorders>
            <w:tcW w:w="3800" w:type="dxa"/>
            <w:shd w:val="clear" w:fill="2563EB"/>
          </w:tcPr>
          <w:p>
            <w:pPr>
              <w:spacing w:after="40"/>
            </w:pPr>
            <w:r>
              <w:rPr>
                <w:b/>
                <w:color w:val="FFFFFF"/>
              </w:rPr>
              <w:t xml:space="preserve">Kalem</w:t>
            </w:r>
          </w:p>
        </w:tc>
        <w:tc>
          <w:tcPr>
            <w:tcBorders>
              <w:top w:val="single" w:sz="4" w:color="CBD5E1"/>
              <w:left w:val="single" w:sz="4" w:color="CBD5E1"/>
              <w:bottom w:val="single" w:sz="4" w:color="CBD5E1"/>
              <w:right w:val="single" w:sz="4" w:color="CBD5E1"/>
            </w:tcBorders>
            <w:tcW w:w="1800" w:type="dxa"/>
            <w:shd w:val="clear" w:fill="2563EB"/>
          </w:tcPr>
          <w:p>
            <w:pPr>
              <w:spacing w:after="40"/>
            </w:pPr>
            <w:r>
              <w:rPr>
                <w:b/>
                <w:color w:val="FFFFFF"/>
              </w:rPr>
              <w:t xml:space="preserve">Dahil / Hariç</w:t>
            </w:r>
          </w:p>
        </w:tc>
        <w:tc>
          <w:tcPr>
            <w:tcBorders>
              <w:top w:val="single" w:sz="4" w:color="CBD5E1"/>
              <w:left w:val="single" w:sz="4" w:color="CBD5E1"/>
              <w:bottom w:val="single" w:sz="4" w:color="CBD5E1"/>
              <w:right w:val="single" w:sz="4" w:color="CBD5E1"/>
            </w:tcBorders>
            <w:tcW w:w="3600" w:type="dxa"/>
            <w:shd w:val="clear" w:fill="2563EB"/>
          </w:tcPr>
          <w:p>
            <w:pPr>
              <w:spacing w:after="40"/>
            </w:pPr>
            <w:r>
              <w:rPr>
                <w:b/>
                <w:color w:val="FFFFFF"/>
              </w:rPr>
              <w:t xml:space="preserve">Açıklama</w:t>
            </w:r>
          </w:p>
        </w:tc>
      </w:tr>
      <w:tr>
        <w:tc>
          <w:tcPr>
            <w:tcBorders>
              <w:top w:val="single" w:sz="4" w:color="CBD5E1"/>
              <w:left w:val="single" w:sz="4" w:color="CBD5E1"/>
              <w:bottom w:val="single" w:sz="4" w:color="CBD5E1"/>
              <w:right w:val="single" w:sz="4" w:color="CBD5E1"/>
            </w:tcBorders>
            <w:tcW w:w="3800" w:type="dxa"/>
          </w:tcPr>
          <w:p>
            <w:pPr>
              <w:spacing w:after="40"/>
            </w:pPr>
            <w:r>
              <w:t xml:space="preserve">Risk değerlendirmesi ve yenilemeleri</w:t>
            </w:r>
          </w:p>
        </w:tc>
        <w:tc>
          <w:tcPr>
            <w:tcBorders>
              <w:top w:val="single" w:sz="4" w:color="CBD5E1"/>
              <w:left w:val="single" w:sz="4" w:color="CBD5E1"/>
              <w:bottom w:val="single" w:sz="4" w:color="CBD5E1"/>
              <w:right w:val="single" w:sz="4" w:color="CBD5E1"/>
            </w:tcBorders>
            <w:tcW w:w="18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800" w:type="dxa"/>
          </w:tcPr>
          <w:p>
            <w:pPr>
              <w:spacing w:after="40"/>
            </w:pPr>
            <w:r>
              <w:t xml:space="preserve">Acil durum planı ve tatbikat danışmanlığı</w:t>
            </w:r>
          </w:p>
        </w:tc>
        <w:tc>
          <w:tcPr>
            <w:tcBorders>
              <w:top w:val="single" w:sz="4" w:color="CBD5E1"/>
              <w:left w:val="single" w:sz="4" w:color="CBD5E1"/>
              <w:bottom w:val="single" w:sz="4" w:color="CBD5E1"/>
              <w:right w:val="single" w:sz="4" w:color="CBD5E1"/>
            </w:tcBorders>
            <w:tcW w:w="18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800" w:type="dxa"/>
          </w:tcPr>
          <w:p>
            <w:pPr>
              <w:spacing w:after="40"/>
            </w:pPr>
            <w:r>
              <w:t xml:space="preserve">Çalışanların İSG eğitimleri</w:t>
            </w:r>
          </w:p>
        </w:tc>
        <w:tc>
          <w:tcPr>
            <w:tcBorders>
              <w:top w:val="single" w:sz="4" w:color="CBD5E1"/>
              <w:left w:val="single" w:sz="4" w:color="CBD5E1"/>
              <w:bottom w:val="single" w:sz="4" w:color="CBD5E1"/>
              <w:right w:val="single" w:sz="4" w:color="CBD5E1"/>
            </w:tcBorders>
            <w:tcW w:w="18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800" w:type="dxa"/>
          </w:tcPr>
          <w:p>
            <w:pPr>
              <w:spacing w:after="40"/>
            </w:pPr>
            <w:r>
              <w:t xml:space="preserve">İşe giriş / periyodik muayeneler</w:t>
            </w:r>
          </w:p>
        </w:tc>
        <w:tc>
          <w:tcPr>
            <w:tcBorders>
              <w:top w:val="single" w:sz="4" w:color="CBD5E1"/>
              <w:left w:val="single" w:sz="4" w:color="CBD5E1"/>
              <w:bottom w:val="single" w:sz="4" w:color="CBD5E1"/>
              <w:right w:val="single" w:sz="4" w:color="CBD5E1"/>
            </w:tcBorders>
            <w:tcW w:w="18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800" w:type="dxa"/>
          </w:tcPr>
          <w:p>
            <w:pPr>
              <w:spacing w:after="40"/>
            </w:pPr>
            <w:r>
              <w:t xml:space="preserve">Ortam ölçümleri (yetkili laboratuvar)</w:t>
            </w:r>
          </w:p>
        </w:tc>
        <w:tc>
          <w:tcPr>
            <w:tcBorders>
              <w:top w:val="single" w:sz="4" w:color="CBD5E1"/>
              <w:left w:val="single" w:sz="4" w:color="CBD5E1"/>
              <w:bottom w:val="single" w:sz="4" w:color="CBD5E1"/>
              <w:right w:val="single" w:sz="4" w:color="CBD5E1"/>
            </w:tcBorders>
            <w:tcW w:w="18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r>
        <w:tc>
          <w:tcPr>
            <w:tcBorders>
              <w:top w:val="single" w:sz="4" w:color="CBD5E1"/>
              <w:left w:val="single" w:sz="4" w:color="CBD5E1"/>
              <w:bottom w:val="single" w:sz="4" w:color="CBD5E1"/>
              <w:right w:val="single" w:sz="4" w:color="CBD5E1"/>
            </w:tcBorders>
            <w:tcW w:w="3800" w:type="dxa"/>
          </w:tcPr>
          <w:p>
            <w:pPr>
              <w:spacing w:after="40"/>
            </w:pPr>
            <w:r>
              <w:t xml:space="preserve">Diğer: [...]</w:t>
            </w:r>
          </w:p>
        </w:tc>
        <w:tc>
          <w:tcPr>
            <w:tcBorders>
              <w:top w:val="single" w:sz="4" w:color="CBD5E1"/>
              <w:left w:val="single" w:sz="4" w:color="CBD5E1"/>
              <w:bottom w:val="single" w:sz="4" w:color="CBD5E1"/>
              <w:right w:val="single" w:sz="4" w:color="CBD5E1"/>
            </w:tcBorders>
            <w:tcW w:w="1800" w:type="dxa"/>
          </w:tcPr>
          <w:p>
            <w:pPr>
              <w:spacing w:after="40"/>
            </w:pPr>
            <w:r>
              <w:t xml:space="preserve">[.........................]</w:t>
            </w:r>
          </w:p>
        </w:tc>
        <w:tc>
          <w:tcPr>
            <w:tcBorders>
              <w:top w:val="single" w:sz="4" w:color="CBD5E1"/>
              <w:left w:val="single" w:sz="4" w:color="CBD5E1"/>
              <w:bottom w:val="single" w:sz="4" w:color="CBD5E1"/>
              <w:right w:val="single" w:sz="4" w:color="CBD5E1"/>
            </w:tcBorders>
            <w:tcW w:w="3600" w:type="dxa"/>
          </w:tcPr>
          <w:p>
            <w:pPr>
              <w:spacing w:after="40"/>
            </w:pPr>
            <w:r>
              <w:t xml:space="preserve">[.........................]</w:t>
            </w:r>
          </w:p>
        </w:tc>
      </w:tr>
    </w:tbl>
    <w:p>
      <w:pPr>
        <w:spacing w:after="120"/>
      </w:pPr>
      <w:r>
        <w:t xml:space="preserve"/>
      </w:r>
    </w:p>
    <w:p>
      <w:pPr>
        <w:pStyle w:val="Heading1"/>
        <w:spacing w:after="160"/>
      </w:pPr>
      <w:r>
        <w:t xml:space="preserve">5. Hizmetin Yürütülmesi ve Kayıtlar</w:t>
      </w:r>
    </w:p>
    <w:p>
      <w:pPr>
        <w:spacing w:after="120"/>
      </w:pPr>
      <w:r>
        <w:t xml:space="preserve">Ziyaret planı taraflarca aylık olarak belirlenir. Her ziyaret tarih-saat, yapılan iş ve tespitlerle kayıt altına alınır; tespit ve öneri defteri usulüne uygun tutulur. OSGB, aylık hizmet dökümünü işverene yazılı/elektronik olarak sunar.</w:t>
      </w:r>
    </w:p>
    <w:p>
      <w:pPr>
        <w:pStyle w:val="Heading1"/>
        <w:spacing w:after="160"/>
      </w:pPr>
      <w:r>
        <w:t xml:space="preserve">6. Bedel ve Ödeme</w:t>
      </w:r>
    </w:p>
    <w:p>
      <w:pPr>
        <w:spacing w:after="120"/>
      </w:pPr>
      <w:r>
        <w:t xml:space="preserve">Aylık hizmet bedeli [.........] TL + KDV'dir. Fatura her ayın [...] günü düzenlenir; ödeme [...] gün içinde yapılır. Gecikme hâlinde [...] uygulanır. İş sağlığı ve güvenliği hizmetlerinin maliyeti hiçbir şekilde çalışanlara yansıtılamaz (6331 m.6).</w:t>
      </w:r>
    </w:p>
    <w:p>
      <w:pPr>
        <w:pStyle w:val="Heading1"/>
        <w:spacing w:after="160"/>
      </w:pPr>
      <w:r>
        <w:t xml:space="preserve">7. Tarafların Yükümlülükleri</w:t>
      </w:r>
    </w:p>
    <w:p>
      <w:pPr>
        <w:spacing w:after="120"/>
      </w:pPr>
      <w:r>
        <w:t xml:space="preserve">İşveren; işyerine erişim, bilgi ve belge paylaşımı, çalışan listelerinin güncel tutulması ve önerilen tedbirlerin uygulanmasından; OSGB, hizmetin mevzuata uygun, zamanında ve kayıtlı biçimde sunulmasından sorumludur. Alınmayan tedbirlere ilişkin yazılı bildirimler saklanır.</w:t>
      </w:r>
    </w:p>
    <w:p>
      <w:pPr>
        <w:pStyle w:val="Heading1"/>
        <w:spacing w:after="160"/>
      </w:pPr>
      <w:r>
        <w:t xml:space="preserve">8. Kişisel Verilerin Korunması ve Gizlilik</w:t>
      </w:r>
    </w:p>
    <w:p>
      <w:pPr>
        <w:spacing w:after="120"/>
      </w:pPr>
      <w:r>
        <w:t xml:space="preserve">Taraflar, 6698 sayılı KVKK'ya uygun hareket eder. Çalışanlara ait özel nitelikli sağlık verileri yalnızca iş sağlığı ve güvenliği mevzuatındaki yükümlülüklerin yerine getirilmesi amacıyla ve gizlilik esasıyla işlenir; kişisel sağlık dosyaları mevzuattaki süre boyunca (işten ayrılmadan itibaren en az 15 yıl) saklanır. Sözleşme sona erdiğinde dosyaların devir/teslim usulü: [.........................]</w:t>
      </w:r>
    </w:p>
    <w:p>
      <w:pPr>
        <w:pStyle w:val="Heading1"/>
        <w:spacing w:after="160"/>
      </w:pPr>
      <w:r>
        <w:t xml:space="preserve">9. Süre, Fesih ve Bildirim</w:t>
      </w:r>
    </w:p>
    <w:p>
      <w:pPr>
        <w:spacing w:after="120"/>
      </w:pPr>
      <w:r>
        <w:t xml:space="preserve">Sözleşme [...] tarihinde başlar; süresi [...] aydır ve yazılı fesih bildirimi yapılmadıkça aynı şartlarla yenilenir. Taraflar [...] gün önceden yazılı bildirimle sözleşmeyi feshedebilir. Fesih hâlinde İSG-KATİP görevlendirmeleri sonlandırılır ve madde 8'deki devir hükümleri uygulanır. Haklı fesih hâlleri: [.........................]</w:t>
      </w:r>
    </w:p>
    <w:p>
      <w:pPr>
        <w:pStyle w:val="Heading1"/>
        <w:spacing w:after="160"/>
      </w:pPr>
      <w:r>
        <w:t xml:space="preserve">10. Uyuşmazlık ve Yürürlük</w:t>
      </w:r>
    </w:p>
    <w:p>
      <w:pPr>
        <w:spacing w:after="120"/>
      </w:pPr>
      <w:r>
        <w:t xml:space="preserve">İşbu sözleşmeden doğan uyuşmazlıklarda [...] mahkemeleri ve icra daireleri yetkilidir. Sözleşme [...] tarihinde iki nüsha olarak imzalanmıştır.</w:t>
      </w:r>
    </w:p>
    <w:p>
      <w:pPr>
        <w:spacing w:after="200"/>
      </w:pPr>
      <w:r>
        <w:t xml:space="preserve"/>
      </w:r>
    </w:p>
    <w:tbl>
      <w:tblPr>
        <w:tblW w:w="0" w:type="auto"/>
      </w:tblPr>
      <w:tr>
        <w:tc>
          <w:tcPr>
            <w:tcBorders>
              <w:top w:val="single" w:sz="4" w:color="CBD5E1"/>
              <w:left w:val="single" w:sz="4" w:color="CBD5E1"/>
              <w:bottom w:val="single" w:sz="4" w:color="CBD5E1"/>
              <w:right w:val="single" w:sz="4" w:color="CBD5E1"/>
            </w:tcBorders>
            <w:tcW w:w="2400" w:type="dxa"/>
            <w:shd w:val="clear" w:fill="2563EB"/>
          </w:tcPr>
          <w:p>
            <w:pPr>
              <w:spacing w:after="40"/>
            </w:pPr>
            <w:r>
              <w:rPr>
                <w:b/>
                <w:color w:val="FFFFFF"/>
              </w:rPr>
              <w:t xml:space="preserve"/>
            </w:r>
          </w:p>
        </w:tc>
        <w:tc>
          <w:tcPr>
            <w:tcBorders>
              <w:top w:val="single" w:sz="4" w:color="CBD5E1"/>
              <w:left w:val="single" w:sz="4" w:color="CBD5E1"/>
              <w:bottom w:val="single" w:sz="4" w:color="CBD5E1"/>
              <w:right w:val="single" w:sz="4" w:color="CBD5E1"/>
            </w:tcBorders>
            <w:tcW w:w="3400" w:type="dxa"/>
            <w:shd w:val="clear" w:fill="2563EB"/>
          </w:tcPr>
          <w:p>
            <w:pPr>
              <w:spacing w:after="40"/>
            </w:pPr>
            <w:r>
              <w:rPr>
                <w:b/>
                <w:color w:val="FFFFFF"/>
              </w:rPr>
              <w:t xml:space="preserve">Hizmeti Veren (OSGB)</w:t>
            </w:r>
          </w:p>
        </w:tc>
        <w:tc>
          <w:tcPr>
            <w:tcBorders>
              <w:top w:val="single" w:sz="4" w:color="CBD5E1"/>
              <w:left w:val="single" w:sz="4" w:color="CBD5E1"/>
              <w:bottom w:val="single" w:sz="4" w:color="CBD5E1"/>
              <w:right w:val="single" w:sz="4" w:color="CBD5E1"/>
            </w:tcBorders>
            <w:tcW w:w="3400" w:type="dxa"/>
            <w:shd w:val="clear" w:fill="2563EB"/>
          </w:tcPr>
          <w:p>
            <w:pPr>
              <w:spacing w:after="40"/>
            </w:pPr>
            <w:r>
              <w:rPr>
                <w:b/>
                <w:color w:val="FFFFFF"/>
              </w:rPr>
              <w:t xml:space="preserve">Hizmeti Alan (İşveren)</w:t>
            </w:r>
          </w:p>
        </w:tc>
      </w:tr>
      <w:tr>
        <w:tc>
          <w:tcPr>
            <w:tcBorders>
              <w:top w:val="single" w:sz="4" w:color="CBD5E1"/>
              <w:left w:val="single" w:sz="4" w:color="CBD5E1"/>
              <w:bottom w:val="single" w:sz="4" w:color="CBD5E1"/>
              <w:right w:val="single" w:sz="4" w:color="CBD5E1"/>
            </w:tcBorders>
            <w:tcW w:w="2400" w:type="dxa"/>
          </w:tcPr>
          <w:p>
            <w:pPr>
              <w:spacing w:after="40"/>
            </w:pPr>
            <w:r>
              <w:t xml:space="preserve">Ad Soyad / Unvan</w:t>
            </w:r>
          </w:p>
        </w:tc>
        <w:tc>
          <w:tcPr>
            <w:tcBorders>
              <w:top w:val="single" w:sz="4" w:color="CBD5E1"/>
              <w:left w:val="single" w:sz="4" w:color="CBD5E1"/>
              <w:bottom w:val="single" w:sz="4" w:color="CBD5E1"/>
              <w:right w:val="single" w:sz="4" w:color="CBD5E1"/>
            </w:tcBorders>
            <w:tcW w:w="3400" w:type="dxa"/>
          </w:tcPr>
          <w:p>
            <w:pPr>
              <w:spacing w:after="40"/>
            </w:pPr>
            <w:r>
              <w:t xml:space="preserve">[.........................]</w:t>
            </w:r>
          </w:p>
        </w:tc>
        <w:tc>
          <w:tcPr>
            <w:tcBorders>
              <w:top w:val="single" w:sz="4" w:color="CBD5E1"/>
              <w:left w:val="single" w:sz="4" w:color="CBD5E1"/>
              <w:bottom w:val="single" w:sz="4" w:color="CBD5E1"/>
              <w:right w:val="single" w:sz="4" w:color="CBD5E1"/>
            </w:tcBorders>
            <w:tcW w:w="3400" w:type="dxa"/>
          </w:tcPr>
          <w:p>
            <w:pPr>
              <w:spacing w:after="40"/>
            </w:pPr>
            <w:r>
              <w:t xml:space="preserve">[.........................]</w:t>
            </w:r>
          </w:p>
        </w:tc>
      </w:tr>
      <w:tr>
        <w:tc>
          <w:tcPr>
            <w:tcBorders>
              <w:top w:val="single" w:sz="4" w:color="CBD5E1"/>
              <w:left w:val="single" w:sz="4" w:color="CBD5E1"/>
              <w:bottom w:val="single" w:sz="4" w:color="CBD5E1"/>
              <w:right w:val="single" w:sz="4" w:color="CBD5E1"/>
            </w:tcBorders>
            <w:tcW w:w="2400" w:type="dxa"/>
          </w:tcPr>
          <w:p>
            <w:pPr>
              <w:spacing w:after="40"/>
            </w:pPr>
            <w:r>
              <w:t xml:space="preserve">Tarih</w:t>
            </w:r>
          </w:p>
        </w:tc>
        <w:tc>
          <w:tcPr>
            <w:tcBorders>
              <w:top w:val="single" w:sz="4" w:color="CBD5E1"/>
              <w:left w:val="single" w:sz="4" w:color="CBD5E1"/>
              <w:bottom w:val="single" w:sz="4" w:color="CBD5E1"/>
              <w:right w:val="single" w:sz="4" w:color="CBD5E1"/>
            </w:tcBorders>
            <w:tcW w:w="3400" w:type="dxa"/>
          </w:tcPr>
          <w:p>
            <w:pPr>
              <w:spacing w:after="40"/>
            </w:pPr>
            <w:r>
              <w:t xml:space="preserve">[.........................]</w:t>
            </w:r>
          </w:p>
        </w:tc>
        <w:tc>
          <w:tcPr>
            <w:tcBorders>
              <w:top w:val="single" w:sz="4" w:color="CBD5E1"/>
              <w:left w:val="single" w:sz="4" w:color="CBD5E1"/>
              <w:bottom w:val="single" w:sz="4" w:color="CBD5E1"/>
              <w:right w:val="single" w:sz="4" w:color="CBD5E1"/>
            </w:tcBorders>
            <w:tcW w:w="3400" w:type="dxa"/>
          </w:tcPr>
          <w:p>
            <w:pPr>
              <w:spacing w:after="40"/>
            </w:pPr>
            <w:r>
              <w:t xml:space="preserve">[.........................]</w:t>
            </w:r>
          </w:p>
        </w:tc>
      </w:tr>
      <w:tr>
        <w:tc>
          <w:tcPr>
            <w:tcBorders>
              <w:top w:val="single" w:sz="4" w:color="CBD5E1"/>
              <w:left w:val="single" w:sz="4" w:color="CBD5E1"/>
              <w:bottom w:val="single" w:sz="4" w:color="CBD5E1"/>
              <w:right w:val="single" w:sz="4" w:color="CBD5E1"/>
            </w:tcBorders>
            <w:tcW w:w="2400" w:type="dxa"/>
          </w:tcPr>
          <w:p>
            <w:pPr>
              <w:spacing w:after="40"/>
            </w:pPr>
            <w:r>
              <w:t xml:space="preserve">İmza / Kaşe</w:t>
            </w:r>
          </w:p>
        </w:tc>
        <w:tc>
          <w:tcPr>
            <w:tcBorders>
              <w:top w:val="single" w:sz="4" w:color="CBD5E1"/>
              <w:left w:val="single" w:sz="4" w:color="CBD5E1"/>
              <w:bottom w:val="single" w:sz="4" w:color="CBD5E1"/>
              <w:right w:val="single" w:sz="4" w:color="CBD5E1"/>
            </w:tcBorders>
            <w:tcW w:w="3400" w:type="dxa"/>
          </w:tcPr>
          <w:p>
            <w:pPr>
              <w:spacing w:after="40"/>
            </w:pPr>
            <w:r>
              <w:t xml:space="preserve"/>
            </w:r>
          </w:p>
        </w:tc>
        <w:tc>
          <w:tcPr>
            <w:tcBorders>
              <w:top w:val="single" w:sz="4" w:color="CBD5E1"/>
              <w:left w:val="single" w:sz="4" w:color="CBD5E1"/>
              <w:bottom w:val="single" w:sz="4" w:color="CBD5E1"/>
              <w:right w:val="single" w:sz="4" w:color="CBD5E1"/>
            </w:tcBorders>
            <w:tcW w:w="3400" w:type="dxa"/>
          </w:tcPr>
          <w:p>
            <w:pPr>
              <w:spacing w:after="40"/>
            </w:pPr>
            <w:r>
              <w:t xml:space="preserve"/>
            </w:r>
          </w:p>
        </w:tc>
      </w:tr>
    </w:tbl>
    <w:p>
      <w:pPr>
        <w:spacing w:after="120"/>
      </w:pPr>
      <w:r>
        <w:t xml:space="preserve"/>
      </w:r>
    </w:p>
    <w:p>
      <w:pPr>
        <w:spacing w:after="120"/>
      </w:pPr>
      <w:r>
        <w:t xml:space="preserve"/>
      </w:r>
    </w:p>
    <w:p>
      <w:pPr>
        <w:spacing w:after="120"/>
      </w:pPr>
      <w:r>
        <w:rPr>
          <w:b/>
          <w:color w:val="2563EB"/>
        </w:rPr>
        <w:t xml:space="preserve">ÖNEMLİ UYARI: </w:t>
      </w:r>
      <w:r>
        <w:rPr>
          <w:i/>
          <w:color w:val="64748B"/>
        </w:rPr>
        <w:t xml:space="preserve">Bu belge bilgilendirme amaçlı bir İSKELETTİR; hukuki danışmanlık değildir. İmzalamadan önce güncel mevzuata ve somut durumunuza göre bir avukata inceletin.</w:t>
      </w:r>
    </w:p>
    <w:p>
      <w:pPr>
        <w:spacing w:after="120"/>
      </w:pPr>
      <w:r>
        <w:rPr>
          <w:color w:val="64748B"/>
        </w:rPr>
        <w:t xml:space="preserve">Hazırlayan: First İSG — firstisg.com/kilavuzlar/osgb-hizmet-sozlesmesi · Son güncelleme: 2026-07-06</w:t>
      </w:r>
    </w:p>
    <w:sectPr>
      <w:pgSz w:w="11906" w:h="16838"/>
      <w:pgMar w:top="1134" w:right="1134" w:bottom="1134" w:left="1134"/>
    </w:sectPr>
  </w:body>
</w:document>
</file>

<file path=word/styles.xml><?xml version="1.0" encoding="utf-8"?>
<w:styles xmlns:w="http://schemas.openxmlformats.org/wordprocessingml/2006/main">
  <w:docDefaults>
    <w:rPrDefault>
      <w:rPr>
        <w:rFonts w:ascii="Calibri" w:hAnsi="Calibri"/>
        <w:sz w:val="22"/>
        <w:szCs w:val="22"/>
      </w:rPr>
    </w:rPrDefault>
  </w:docDefaults>
  <w:style w:type="paragraph" w:styleId="Heading1">
    <w:name w:val="heading 1"/>
    <w:pPr>
      <w:spacing w:before="240" w:after="120"/>
      <w:outlineLvl w:val="0"/>
    </w:pPr>
    <w:rPr>
      <w:b/>
      <w:color w:val="2563EB"/>
      <w:sz w:val="26"/>
      <w:szCs w:val="26"/>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