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224000" cy="1195535"/>
            <wp:docPr id="1" name="Picture 1"/>
            <wp:cNvGraphicFramePr>
              <a:graphicFrameLocks noChangeAspect="1"/>
            </wp:cNvGraphicFramePr>
            <a:graphic>
              <a:graphicData uri="http://schemas.openxmlformats.org/drawingml/2006/picture">
                <pic:pic>
                  <pic:nvPicPr>
                    <pic:cNvPr id="0" name="logo.png"/>
                    <pic:cNvPicPr/>
                  </pic:nvPicPr>
                  <pic:blipFill>
                    <a:blip r:embed="rId9"/>
                    <a:stretch>
                      <a:fillRect/>
                    </a:stretch>
                  </pic:blipFill>
                  <pic:spPr>
                    <a:xfrm>
                      <a:off x="0" y="0"/>
                      <a:ext cx="1224000" cy="1195535"/>
                    </a:xfrm>
                    <a:prstGeom prst="rect"/>
                  </pic:spPr>
                </pic:pic>
              </a:graphicData>
            </a:graphic>
          </wp:inline>
        </w:drawing>
      </w:r>
    </w:p>
    <w:p>
      <w:pPr>
        <w:jc w:val="center"/>
      </w:pPr>
      <w:r>
        <w:rPr>
          <w:color w:val="2563EB"/>
          <w:sz w:val="16"/>
        </w:rPr>
        <w:t>FirstİSG · firstisg.com</w:t>
      </w:r>
    </w:p>
    <w:p>
      <w:pPr>
        <w:pStyle w:val="Heading1"/>
        <w:jc w:val="center"/>
      </w:pPr>
      <w:r>
        <w:t>LOTO / EKED Prosedürü</w:t>
      </w:r>
    </w:p>
    <w:p>
      <w:pPr>
        <w:jc w:val="center"/>
      </w:pPr>
      <w:r>
        <w:rPr>
          <w:i/>
          <w:sz w:val="18"/>
        </w:rPr>
        <w:t>Enerji Kesme ve Etiketleme-Devre Dışı Bırakma — işyeri prosedürü iskeleti</w:t>
      </w:r>
    </w:p>
    <w:p/>
    <w:tbl>
      <w:tblPr>
        <w:tblStyle w:val="TableGrid"/>
        <w:tblW w:type="auto" w:w="0"/>
        <w:tblLook w:firstColumn="1" w:firstRow="1" w:lastColumn="0" w:lastRow="0" w:noHBand="0" w:noVBand="1" w:val="04A0"/>
      </w:tblPr>
      <w:tblGrid>
        <w:gridCol w:w="5043"/>
        <w:gridCol w:w="5043"/>
      </w:tblGrid>
      <w:tr>
        <w:tc>
          <w:tcPr>
            <w:tcW w:type="dxa" w:w="5043"/>
          </w:tcPr>
          <w:p>
            <w:r>
              <w:rPr>
                <w:b/>
              </w:rPr>
              <w:t>İşyeri / birim</w:t>
            </w:r>
          </w:p>
        </w:tc>
        <w:tc>
          <w:tcPr>
            <w:tcW w:type="dxa" w:w="5043"/>
          </w:tcPr>
          <w:p/>
        </w:tc>
      </w:tr>
      <w:tr>
        <w:tc>
          <w:tcPr>
            <w:tcW w:type="dxa" w:w="5043"/>
          </w:tcPr>
          <w:p>
            <w:r>
              <w:rPr>
                <w:b/>
              </w:rPr>
              <w:t>Prosedür no</w:t>
            </w:r>
          </w:p>
        </w:tc>
        <w:tc>
          <w:tcPr>
            <w:tcW w:type="dxa" w:w="5043"/>
          </w:tcPr>
          <w:p/>
        </w:tc>
      </w:tr>
      <w:tr>
        <w:tc>
          <w:tcPr>
            <w:tcW w:type="dxa" w:w="5043"/>
          </w:tcPr>
          <w:p>
            <w:r>
              <w:rPr>
                <w:b/>
              </w:rPr>
              <w:t>Yürürlük tarihi</w:t>
            </w:r>
          </w:p>
        </w:tc>
        <w:tc>
          <w:tcPr>
            <w:tcW w:type="dxa" w:w="5043"/>
          </w:tcPr>
          <w:p/>
        </w:tc>
      </w:tr>
      <w:tr>
        <w:tc>
          <w:tcPr>
            <w:tcW w:type="dxa" w:w="5043"/>
          </w:tcPr>
          <w:p>
            <w:r>
              <w:rPr>
                <w:b/>
              </w:rPr>
              <w:t>Revizyon</w:t>
            </w:r>
          </w:p>
        </w:tc>
        <w:tc>
          <w:tcPr>
            <w:tcW w:type="dxa" w:w="5043"/>
          </w:tcPr>
          <w:p/>
        </w:tc>
      </w:tr>
      <w:tr>
        <w:tc>
          <w:tcPr>
            <w:tcW w:type="dxa" w:w="5043"/>
          </w:tcPr>
          <w:p>
            <w:r>
              <w:rPr>
                <w:b/>
              </w:rPr>
              <w:t>Hazırlayan / onaylayan</w:t>
            </w:r>
          </w:p>
        </w:tc>
        <w:tc>
          <w:tcPr>
            <w:tcW w:type="dxa" w:w="5043"/>
          </w:tcPr>
          <w:p/>
        </w:tc>
      </w:tr>
    </w:tbl>
    <w:p/>
    <w:p>
      <w:pPr>
        <w:pStyle w:val="Heading2"/>
      </w:pPr>
      <w:r>
        <w:t>1. Amaç ve kapsam</w:t>
      </w:r>
    </w:p>
    <w:p>
      <w:r>
        <w:t>Bu prosedür; bakım, onarım, ayar ve temizlik işleri sırasında iş ekipmanının beklenmedik biçimde çalışmasını veya depolanmış enerjinin boşalmasını önlemek amacıyla uygulanacak enerji kesme, kilitleme ve etiketleme kurallarını belirler. İşyerinde bulunan tüm çalışanlar ile yüklenici çalışanlarını kapsar.</w:t>
      </w:r>
    </w:p>
    <w:p>
      <w:pPr>
        <w:pStyle w:val="Heading2"/>
      </w:pPr>
      <w:r>
        <w:t>2. Roller ve yetkiler</w:t>
      </w:r>
    </w:p>
    <w:tbl>
      <w:tblPr>
        <w:tblStyle w:val="TableGrid"/>
        <w:tblW w:type="auto" w:w="0"/>
        <w:tblLook w:firstColumn="1" w:firstRow="1" w:lastColumn="0" w:lastRow="0" w:noHBand="0" w:noVBand="1" w:val="04A0"/>
      </w:tblPr>
      <w:tblGrid>
        <w:gridCol w:w="5043"/>
        <w:gridCol w:w="5043"/>
      </w:tblGrid>
      <w:tr>
        <w:tc>
          <w:tcPr>
            <w:tcW w:type="dxa" w:w="5043"/>
          </w:tcPr>
          <w:p>
            <w:r>
              <w:rPr>
                <w:b/>
              </w:rPr>
              <w:t>Rol</w:t>
            </w:r>
          </w:p>
        </w:tc>
        <w:tc>
          <w:tcPr>
            <w:tcW w:type="dxa" w:w="5043"/>
          </w:tcPr>
          <w:p>
            <w:r>
              <w:rPr>
                <w:b/>
              </w:rPr>
              <w:t>Sorumluluk</w:t>
            </w:r>
          </w:p>
        </w:tc>
      </w:tr>
      <w:tr>
        <w:tc>
          <w:tcPr>
            <w:tcW w:type="dxa" w:w="5043"/>
          </w:tcPr>
          <w:p>
            <w:r>
              <w:rPr>
                <w:b/>
              </w:rPr>
              <w:t>Yetkili kişi</w:t>
            </w:r>
          </w:p>
        </w:tc>
        <w:tc>
          <w:tcPr>
            <w:tcW w:type="dxa" w:w="5043"/>
          </w:tcPr>
          <w:p>
            <w:r>
              <w:t>İşi yapan ve kendi kilidini takan çalışan; kilidini yalnız kendisi söker.</w:t>
            </w:r>
          </w:p>
        </w:tc>
      </w:tr>
      <w:tr>
        <w:tc>
          <w:tcPr>
            <w:tcW w:type="dxa" w:w="5043"/>
          </w:tcPr>
          <w:p>
            <w:r>
              <w:rPr>
                <w:b/>
              </w:rPr>
              <w:t>Etkilenen çalışan</w:t>
            </w:r>
          </w:p>
        </w:tc>
        <w:tc>
          <w:tcPr>
            <w:tcW w:type="dxa" w:w="5043"/>
          </w:tcPr>
          <w:p>
            <w:r>
              <w:t>Ekipmanı kullanan ama işi yapmayan kişi; bildirim yapılır, kilit takmaz.</w:t>
            </w:r>
          </w:p>
        </w:tc>
      </w:tr>
      <w:tr>
        <w:tc>
          <w:tcPr>
            <w:tcW w:type="dxa" w:w="5043"/>
          </w:tcPr>
          <w:p>
            <w:r>
              <w:rPr>
                <w:b/>
              </w:rPr>
              <w:t>İş sahibi / amir</w:t>
            </w:r>
          </w:p>
        </w:tc>
        <w:tc>
          <w:tcPr>
            <w:tcW w:type="dxa" w:w="5043"/>
          </w:tcPr>
          <w:p>
            <w:r>
              <w:t>İşin kapsamını onaylar, çakışan işleri koordine eder, vardiya devrini yönetir.</w:t>
            </w:r>
          </w:p>
        </w:tc>
      </w:tr>
      <w:tr>
        <w:tc>
          <w:tcPr>
            <w:tcW w:type="dxa" w:w="5043"/>
          </w:tcPr>
          <w:p>
            <w:r>
              <w:rPr>
                <w:b/>
              </w:rPr>
              <w:t>Yüklenici çalışanı</w:t>
            </w:r>
          </w:p>
        </w:tc>
        <w:tc>
          <w:tcPr>
            <w:tcW w:type="dxa" w:w="5043"/>
          </w:tcPr>
          <w:p>
            <w:r>
              <w:t>Kendi kilidini takar; işyerinin prosedürüne tabidir, ayrı sistem kullanamaz.</w:t>
            </w:r>
          </w:p>
        </w:tc>
      </w:tr>
    </w:tbl>
    <w:p>
      <w:r>
        <w:br w:type="page"/>
      </w:r>
    </w:p>
    <w:p>
      <w:pPr>
        <w:jc w:val="center"/>
      </w:pPr>
      <w:r>
        <w:drawing>
          <wp:inline xmlns:a="http://schemas.openxmlformats.org/drawingml/2006/main" xmlns:pic="http://schemas.openxmlformats.org/drawingml/2006/picture">
            <wp:extent cx="1224000" cy="1195535"/>
            <wp:docPr id="2" name="Picture 2"/>
            <wp:cNvGraphicFramePr>
              <a:graphicFrameLocks noChangeAspect="1"/>
            </wp:cNvGraphicFramePr>
            <a:graphic>
              <a:graphicData uri="http://schemas.openxmlformats.org/drawingml/2006/picture">
                <pic:pic>
                  <pic:nvPicPr>
                    <pic:cNvPr id="0" name="logo.png"/>
                    <pic:cNvPicPr/>
                  </pic:nvPicPr>
                  <pic:blipFill>
                    <a:blip r:embed="rId9"/>
                    <a:stretch>
                      <a:fillRect/>
                    </a:stretch>
                  </pic:blipFill>
                  <pic:spPr>
                    <a:xfrm>
                      <a:off x="0" y="0"/>
                      <a:ext cx="1224000" cy="1195535"/>
                    </a:xfrm>
                    <a:prstGeom prst="rect"/>
                  </pic:spPr>
                </pic:pic>
              </a:graphicData>
            </a:graphic>
          </wp:inline>
        </w:drawing>
      </w:r>
    </w:p>
    <w:p>
      <w:pPr>
        <w:jc w:val="center"/>
      </w:pPr>
      <w:r>
        <w:rPr>
          <w:color w:val="2563EB"/>
          <w:sz w:val="16"/>
        </w:rPr>
        <w:t>FirstİSG · firstisg.com</w:t>
      </w:r>
    </w:p>
    <w:p>
      <w:pPr>
        <w:pStyle w:val="Heading2"/>
      </w:pPr>
      <w:r>
        <w:t>3. Uygulama adımları</w:t>
      </w:r>
    </w:p>
    <w:tbl>
      <w:tblPr>
        <w:tblStyle w:val="TableGrid"/>
        <w:tblW w:type="auto" w:w="0"/>
        <w:tblLook w:firstColumn="1" w:firstRow="1" w:lastColumn="0" w:lastRow="0" w:noHBand="0" w:noVBand="1" w:val="04A0"/>
      </w:tblPr>
      <w:tblGrid>
        <w:gridCol w:w="5043"/>
        <w:gridCol w:w="5043"/>
      </w:tblGrid>
      <w:tr>
        <w:tc>
          <w:tcPr>
            <w:tcW w:type="dxa" w:w="5043"/>
          </w:tcPr>
          <w:p>
            <w:r>
              <w:rPr>
                <w:b/>
              </w:rPr>
              <w:t>Adım</w:t>
            </w:r>
          </w:p>
        </w:tc>
        <w:tc>
          <w:tcPr>
            <w:tcW w:type="dxa" w:w="5043"/>
          </w:tcPr>
          <w:p>
            <w:r>
              <w:rPr>
                <w:b/>
              </w:rPr>
              <w:t>Yapılacak iş</w:t>
            </w:r>
          </w:p>
        </w:tc>
      </w:tr>
      <w:tr>
        <w:tc>
          <w:tcPr>
            <w:tcW w:type="dxa" w:w="5043"/>
          </w:tcPr>
          <w:p>
            <w:r>
              <w:rPr>
                <w:b/>
              </w:rPr>
              <w:t>1. Hazırlık ve bildirim</w:t>
            </w:r>
          </w:p>
        </w:tc>
        <w:tc>
          <w:tcPr>
            <w:tcW w:type="dxa" w:w="5043"/>
          </w:tcPr>
          <w:p>
            <w:r>
              <w:t>Yapılacak iş, etkilenecek ekipman ve süre belirlenir; etkilenen tüm çalışanlara ve vardiya amirine bildirilir.</w:t>
            </w:r>
          </w:p>
        </w:tc>
      </w:tr>
      <w:tr>
        <w:tc>
          <w:tcPr>
            <w:tcW w:type="dxa" w:w="5043"/>
          </w:tcPr>
          <w:p>
            <w:r>
              <w:rPr>
                <w:b/>
              </w:rPr>
              <w:t>2. Ekipmanı durdurma</w:t>
            </w:r>
          </w:p>
        </w:tc>
        <w:tc>
          <w:tcPr>
            <w:tcW w:type="dxa" w:w="5043"/>
          </w:tcPr>
          <w:p>
            <w:r>
              <w:t>Ekipman normal durdurma prosedürüyle kapatılır; ani duruş yerine kontrollü duruş tercih edilir.</w:t>
            </w:r>
          </w:p>
        </w:tc>
      </w:tr>
      <w:tr>
        <w:tc>
          <w:tcPr>
            <w:tcW w:type="dxa" w:w="5043"/>
          </w:tcPr>
          <w:p>
            <w:r>
              <w:rPr>
                <w:b/>
              </w:rPr>
              <w:t>3. Enerji kaynaklarını ayırma</w:t>
            </w:r>
          </w:p>
        </w:tc>
        <w:tc>
          <w:tcPr>
            <w:tcW w:type="dxa" w:w="5043"/>
          </w:tcPr>
          <w:p>
            <w:r>
              <w:t>Envanterdeki TÜM kaynaklar ayrılır: elektrik, basınçlı hava, hidrolik, gaz, buhar, su, yerçekimi (asılı yük), yay gerilimi.</w:t>
            </w:r>
          </w:p>
        </w:tc>
      </w:tr>
      <w:tr>
        <w:tc>
          <w:tcPr>
            <w:tcW w:type="dxa" w:w="5043"/>
          </w:tcPr>
          <w:p>
            <w:r>
              <w:rPr>
                <w:b/>
              </w:rPr>
              <w:t>4. Kilitleme ve etiketleme</w:t>
            </w:r>
          </w:p>
        </w:tc>
        <w:tc>
          <w:tcPr>
            <w:tcW w:type="dxa" w:w="5043"/>
          </w:tcPr>
          <w:p>
            <w:r>
              <w:t>Her ayırıcıya kişisel kilit takılır; etikete kimin, ne zaman, neden kilitlediği yazılır. Kilidi takan dışında kimse açamaz.</w:t>
            </w:r>
          </w:p>
        </w:tc>
      </w:tr>
      <w:tr>
        <w:tc>
          <w:tcPr>
            <w:tcW w:type="dxa" w:w="5043"/>
          </w:tcPr>
          <w:p>
            <w:r>
              <w:rPr>
                <w:b/>
              </w:rPr>
              <w:t>5. Artık enerjiyi boşaltma</w:t>
            </w:r>
          </w:p>
        </w:tc>
        <w:tc>
          <w:tcPr>
            <w:tcW w:type="dxa" w:w="5043"/>
          </w:tcPr>
          <w:p>
            <w:r>
              <w:t>Kondansatör deşarjı, basınç tahliyesi, yayların gevşetilmesi, asılı yükün indirilmesi veya mekanik destekle emniyete alınması.</w:t>
            </w:r>
          </w:p>
        </w:tc>
      </w:tr>
      <w:tr>
        <w:tc>
          <w:tcPr>
            <w:tcW w:type="dxa" w:w="5043"/>
          </w:tcPr>
          <w:p>
            <w:r>
              <w:rPr>
                <w:b/>
              </w:rPr>
              <w:t>6. Sıfır enerji doğrulama</w:t>
            </w:r>
          </w:p>
        </w:tc>
        <w:tc>
          <w:tcPr>
            <w:tcW w:type="dxa" w:w="5043"/>
          </w:tcPr>
          <w:p>
            <w:r>
              <w:t>Ölçüm ve deneme ile doğrulanır: ölçü aleti çalışıyor mu kontrol edilir, ölçüm yapılır, çalıştırma butonuna basılarak ekipmanın çalışmadığı görülür, buton eski konuma alınır.</w:t>
            </w:r>
          </w:p>
        </w:tc>
      </w:tr>
      <w:tr>
        <w:tc>
          <w:tcPr>
            <w:tcW w:type="dxa" w:w="5043"/>
          </w:tcPr>
          <w:p>
            <w:r>
              <w:rPr>
                <w:b/>
              </w:rPr>
              <w:t>7. İşi yapma ve geri alma</w:t>
            </w:r>
          </w:p>
        </w:tc>
        <w:tc>
          <w:tcPr>
            <w:tcW w:type="dxa" w:w="5043"/>
          </w:tcPr>
          <w:p>
            <w:r>
              <w:t>İş bitince alan kontrol edilir, çalışanlar uzaklaştırılır, kilitler TAKAN kişilerce ters sırayla sökülür, ekipman kontrollü devreye alınır.</w:t>
            </w:r>
          </w:p>
        </w:tc>
      </w:tr>
    </w:tbl>
    <w:p/>
    <w:p>
      <w:pPr>
        <w:pStyle w:val="Heading2"/>
      </w:pPr>
      <w:r>
        <w:t>4. Grup kilitleme</w:t>
      </w:r>
    </w:p>
    <w:p>
      <w:r>
        <w:t>Birden fazla kişi çalışıyorsa çoklu kilit tertibatı (hasp) kullanılır ve HER çalışan kendi kilidini takar. Ekipman ancak son kilit söküldüğünde devreye alınabilir. Tek kişinin herkes adına kilit takması bu prosedürün ihlalidir.</w:t>
      </w:r>
    </w:p>
    <w:p>
      <w:pPr>
        <w:pStyle w:val="Heading2"/>
      </w:pPr>
      <w:r>
        <w:t>5. Vardiya devri</w:t>
      </w:r>
    </w:p>
    <w:p>
      <w:r>
        <w:t>İş vardiya sonunda bitmediyse kilitler SÖKÜLMEZ. Devralan çalışan kendi kilidini takar, devreden kendi kilidini söker; ekipman hiçbir anda kilitsiz kalmaz. Devir, iş sahibi/amir gözetiminde ve yazılı olarak yapılır.</w:t>
      </w:r>
    </w:p>
    <w:p>
      <w:pPr>
        <w:pStyle w:val="Heading2"/>
      </w:pPr>
      <w:r>
        <w:t>6. Kilidin sahibi yoksa</w:t>
      </w:r>
    </w:p>
    <w:p>
      <w:r>
        <w:t>Kilidi takan çalışana ulaşılamıyorsa kilit keyfî olarak kesilemez. Amirin onayı, çalışanın işyerinde olmadığının doğrulanması, alanın güvenli olduğunun kontrolü ve yazılı tutanak şarttır; çalışan işe döndüğünde bilgilendirilir.</w:t>
      </w:r>
    </w:p>
    <w:p>
      <w:pPr>
        <w:pStyle w:val="Heading2"/>
      </w:pPr>
      <w:r>
        <w:t>7. Eğitim ve tatbikat</w:t>
      </w:r>
    </w:p>
    <w:p>
      <w:pPr>
        <w:pStyle w:val="ListBullet"/>
      </w:pPr>
      <w:r>
        <w:t>Yetkili kişilere prosedür ve ekipman bazlı uygulama eğitimi verilir, tutanakla kaydedilir.</w:t>
      </w:r>
    </w:p>
    <w:p>
      <w:pPr>
        <w:pStyle w:val="ListBullet"/>
      </w:pPr>
      <w:r>
        <w:t>Etkilenen çalışanlara kilitli ekipmana müdahale etmeme kuralı anlatılır.</w:t>
      </w:r>
    </w:p>
    <w:p>
      <w:pPr>
        <w:pStyle w:val="ListBullet"/>
      </w:pPr>
      <w:r>
        <w:t>Yüklenici çalışanları işe başlamadan önce bu prosedüre uyacaklarını yazılı kabul eder.</w:t>
      </w:r>
    </w:p>
    <w:p>
      <w:pPr>
        <w:pStyle w:val="ListBullet"/>
      </w:pPr>
      <w:r>
        <w:t>Prosedür yılda en az bir kez ve ekipman değişikliğinde gözden geçirilir.</w:t>
      </w:r>
    </w:p>
    <w:p/>
    <w:p>
      <w:r>
        <w:rPr>
          <w:b/>
          <w:sz w:val="18"/>
        </w:rPr>
        <w:t>Not: LOTO/EKED, Türk mevzuatında bu adla ayrıca düzenlenmiş bir prosedür değildir. Dayanağı, işverenin risk değerlendirmesi sonucuna göre önlem alma yükümlülüğü ile iş ekipmanlarının bakım-onarım işlerinin güvenli koşullarda yapılması esasıdır. Bu şablon bir iskelettir; kendi ekipman envanterinize göre uyarlanmadan kullanılamaz.</w:t>
      </w:r>
    </w:p>
    <w:p>
      <w:pPr>
        <w:jc w:val="center"/>
      </w:pPr>
      <w:r>
        <w:rPr>
          <w:color w:val="2563EB"/>
          <w:sz w:val="16"/>
        </w:rPr>
        <w:t>Bu şablon FirstİSG tarafından hazırlanmıştır · firstisg.com/kilavuzlar/loto-eked-prosedur</w:t>
      </w:r>
    </w:p>
    <w:sectPr w:rsidR="00FC693F" w:rsidRPr="0006063C" w:rsidSect="00034616">
      <w:pgSz w:w="12240" w:h="15840"/>
      <w:pgMar w:top="907" w:right="1077" w:bottom="90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