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2"/>
          <w:szCs w:val="32"/>
        </w:rPr>
        <w:t xml:space="preserve">İSG YILLIK DEĞERLENDİRME RAPORU</w:t>
      </w:r>
    </w:p>
    <w:p>
      <w:pPr>
        <w:spacing w:after="240"/>
      </w:pPr>
      <w:r>
        <w:rPr>
          <w:i/>
          <w:sz w:val="18"/>
          <w:szCs w:val="18"/>
        </w:rPr>
        <w:t xml:space="preserve">İş Sağlığı ve Güvenliği Hizmetleri Yönetmeliği gereği İSGB/OSGB, çalışma ortamının gözetimi ve sağlık gözetimi çalışmalarını kaydeder ve her yıl Ek-6'daki örneğe uygun bir değerlendirme raporu hazırlayarak işverene, varsa İSG kuruluna ve Bakanlığa (yazılı/elektronik) gönderir. Bu şablon o raporun iskeletidir; alanları kendi işyerinizin verileriyle doldurun.</w:t>
      </w:r>
    </w:p>
    <w:p>
      <w:pPr>
        <w:pStyle w:val="Heading1"/>
        <w:spacing w:after="160"/>
      </w:pPr>
      <w:r>
        <w:t xml:space="preserve">1. İşyeri ve Rapor Bilgileri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ünvanı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SGK işyeri sicil no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Adres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Tehlike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Az tehlikeli ☐   Tehlikeli ☐   Çok tehlikeli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Toplam çalışan sayısı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Rapor dönemi (yıl)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İSGB / Hizmet alınan OSGB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Görevli İSG uzmanı / işyeri hekimi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Çalışma Ortamının Gözetimi</w:t>
      </w:r>
    </w:p>
    <w:p>
      <w:pPr>
        <w:spacing w:after="120"/>
      </w:pPr>
      <w:r>
        <w:rPr>
          <w:i/>
          <w:sz w:val="18"/>
          <w:szCs w:val="18"/>
        </w:rPr>
        <w:t xml:space="preserve">Yıl içinde yapılan saha denetimleri, ortam ölçümleri, periyodik kontroller ve tespit edilen başlıca uygunsuzlukların özeti.</w:t>
      </w:r>
    </w:p>
    <w:tbl>
      <w:tblPr>
        <w:tblW w:w="0" w:type="auto"/>
        <w:tblLayout w:type="fixed"/>
      </w:tblPr>
      <w:tblGrid>
        <w:gridCol w:w="3600"/>
        <w:gridCol w:w="1700"/>
        <w:gridCol w:w="1700"/>
        <w:gridCol w:w="2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Planlanan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Gerçekleşen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Açıklama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Saha denetimi (gözetim turu)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Ortam ölçümleri (gürültü/toz/aydınlatma...)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İş ekipmanları periyodik kontrolü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Risk değerlendirmesi gözden geçirme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3. Sağlık Gözetimi</w:t>
      </w:r>
    </w:p>
    <w:tbl>
      <w:tblPr>
        <w:tblW w:w="0" w:type="auto"/>
        <w:tblLayout w:type="fixed"/>
      </w:tblPr>
      <w:tblGrid>
        <w:gridCol w:w="3600"/>
        <w:gridCol w:w="1700"/>
        <w:gridCol w:w="1700"/>
        <w:gridCol w:w="2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Planlanan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Gerçekleşen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Açıklama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İşe giriş muayenesi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Periyodik sağlık muayenesi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İşyeri hekimi gözetim ziyareti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İş kazası / meslek hastalığı sevki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4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Eğitim ve Bilgilendirme</w:t>
      </w:r>
    </w:p>
    <w:tbl>
      <w:tblPr>
        <w:tblW w:w="0" w:type="auto"/>
        <w:tblLayout w:type="fixed"/>
      </w:tblPr>
      <w:tblGrid>
        <w:gridCol w:w="3600"/>
        <w:gridCol w:w="1900"/>
        <w:gridCol w:w="1700"/>
        <w:gridCol w:w="16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Eğitim konusu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9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Katılan kişi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Tarih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Süre (saat)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Temel İSG eğitimi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9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İlk yardım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9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Acil durum / yangın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9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</w:tcPr>
          <w:p>
            <w:pPr>
              <w:spacing w:after="40"/>
            </w:pPr>
            <w:r>
              <w:t xml:space="preserve">Göreve özel eğitim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9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5. Kaza, Ramak Kala ve Meslek Hastalığı İstatistikleri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 kazası sayısı (yıl içi)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Kayıp gün sayısı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Ramak kala bildirim sayısı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Meslek hastalığı / şüphesi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 kalan DÖF / önleyici 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6. Yıllık Çalışma Planının Gerçekleşme Durumu</w:t>
      </w:r>
    </w:p>
    <w:p>
      <w:pPr>
        <w:spacing w:after="120"/>
      </w:pPr>
      <w:r>
        <w:rPr>
          <w:i/>
          <w:sz w:val="18"/>
          <w:szCs w:val="18"/>
        </w:rPr>
        <w:t xml:space="preserve">Bir önceki yıla ait yıllık çalışma planındaki faaliyetlerin gerçekleşme oranı ve gerçekleşmeyen maddelerin gerekçesi.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7. Değerlendirme ve Gelecek Yıl Önerileri</w:t>
      </w:r>
    </w:p>
    <w:p>
      <w:pPr>
        <w:spacing w:after="120"/>
      </w:pPr>
      <w:r>
        <w:rPr>
          <w:i/>
          <w:sz w:val="18"/>
          <w:szCs w:val="18"/>
        </w:rPr>
        <w:t xml:space="preserve">İşyerinin İSG performansının genel değerlendirmesi; öncelikli riskler, tekrar eden uygunsuzluklar ve gelecek yıl planına alınması önerilen önlemler.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8. Onay</w:t>
      </w:r>
    </w:p>
    <w:tbl>
      <w:tblPr>
        <w:tblW w:w="0" w:type="auto"/>
        <w:tblLayout w:type="fixed"/>
      </w:tblPr>
      <w:tblGrid>
        <w:gridCol w:w="1700"/>
        <w:gridCol w:w="2600"/>
        <w:gridCol w:w="2600"/>
        <w:gridCol w:w="26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İSG uzmanı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hekimi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İşveren / Vekili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 Soyad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Tarih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İmza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6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spacing w:after="60"/>
      </w:pPr>
      <w:r>
        <w:rPr>
          <w:b/>
          <w:color w:val="2563EB"/>
          <w:sz w:val="26"/>
          <w:szCs w:val="26"/>
        </w:rPr>
        <w:t xml:space="preserve">İŞLENMİŞ ÖRNEK — ÇOK TEHLİKELİ SINIF METAL İŞLEME FABRİKASI</w:t>
      </w:r>
    </w:p>
    <w:p>
      <w:pPr>
        <w:spacing w:after="240"/>
      </w:pPr>
      <w:r>
        <w:rPr>
          <w:i/>
          <w:sz w:val="18"/>
          <w:szCs w:val="18"/>
        </w:rPr>
        <w:t xml:space="preserve">Aşağıdaki örnek, raporun nasıl doldurulacağını gösterir; gerçek verilerinizi 1. sayfadaki boş şablona işleyin. Firma adı ve sayılar temsilîdir.</w:t>
      </w:r>
    </w:p>
    <w:p>
      <w:pPr>
        <w:pStyle w:val="Heading1"/>
        <w:spacing w:after="160"/>
      </w:pPr>
      <w:r>
        <w:t xml:space="preserve">1. İşyeri ve Rapor Bilgileri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İşyeri ünvanı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Örnek 1 Metal İşleme San. Tic. A.Ş.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Tehlike sınıfı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Çok tehlikeli ☒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Toplam çalışan sayısı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85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Rapor dönemi (yıl)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2025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Görevli İSG profesyonelleri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(A) sınıfı uzman + işyeri hekimi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Çalışma Ortamının Gözetimi</w:t>
      </w:r>
    </w:p>
    <w:tbl>
      <w:tblPr>
        <w:tblW w:w="0" w:type="auto"/>
        <w:tblLayout w:type="fixed"/>
      </w:tblPr>
      <w:tblGrid>
        <w:gridCol w:w="3000"/>
        <w:gridCol w:w="1500"/>
        <w:gridCol w:w="1500"/>
        <w:gridCol w:w="34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Planlanan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Gerçekleşen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Açıklama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Saha denetimi (gözetim turu)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12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12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Aylık tamamlandı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Ortam ölçümleri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1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1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Kaynak bölümü gürültü 88 dB(A) → kulaklık + bölme önlemi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000" w:type="dxa"/>
          </w:tcPr>
          <w:p>
            <w:pPr>
              <w:spacing w:after="40"/>
            </w:pPr>
            <w:r>
              <w:t xml:space="preserve">Ekipman periyodik kontrolü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4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500" w:type="dxa"/>
          </w:tcPr>
          <w:p>
            <w:pPr>
              <w:spacing w:after="40"/>
            </w:pPr>
            <w:r>
              <w:t xml:space="preserve">4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</w:tcPr>
          <w:p>
            <w:pPr>
              <w:spacing w:after="40"/>
            </w:pPr>
            <w:r>
              <w:t xml:space="preserve">Vinç, kompresör, pano, paratoner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5. İstatistikler (özet)</w:t>
      </w:r>
    </w:p>
    <w:tbl>
      <w:tblPr>
        <w:tblW w:w="0" w:type="auto"/>
        <w:tblLayout w:type="fixed"/>
      </w:tblPr>
      <w:tblGrid>
        <w:gridCol w:w="3600"/>
        <w:gridCol w:w="5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 kazası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2 (toplam 9 kayıp gün; el kesiği ve düşme)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Ramak kala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17 bildirim → 14'ü kapatıldı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Açık önleyici 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5800" w:type="dxa"/>
          </w:tcPr>
          <w:p>
            <w:pPr>
              <w:spacing w:after="40"/>
            </w:pPr>
            <w:r>
              <w:t xml:space="preserve">3 (yıl sonu itibarıyla)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7. Gelecek Yıl Önerileri (özet)</w:t>
      </w:r>
    </w:p>
    <w:p>
      <w:pPr>
        <w:spacing w:after="120"/>
      </w:pPr>
      <w:r>
        <w:t xml:space="preserve">Kaynak bölümü gürültü maruziyetinin akustik bölmeyle düşürülmesi; forklift-yaya ayrımı için koridor çizgilerinin yenilenmesi; el yaralanmalarına karşı kesilmeye dayanıklı eldiven standardının yükseltilmesi öncelikli olarak 2026 planına alınmıştır.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