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0"/>
          <w:szCs w:val="30"/>
        </w:rPr>
        <w:t xml:space="preserve">İŞ SAĞLIĞI VE GÜVENLİĞİ İÇ YÖNERGESİ — İSKELET ŞABLON</w:t>
      </w:r>
    </w:p>
    <w:p>
      <w:pPr>
        <w:spacing w:after="240"/>
      </w:pPr>
      <w:r>
        <w:rPr>
          <w:i/>
          <w:sz w:val="18"/>
          <w:szCs w:val="18"/>
        </w:rPr>
        <w:t xml:space="preserve">Dayanak: İş Sağlığı ve Güvenliği Kurulları Hakkında Yönetmelik (RG 18.01.2013, S. 28532) m.8 — iç yönerge taslağını İSG kurulu hazırlar, işveren/işveren vekili onaylar, uygulanmasını kurul izler. Bu şablon yaygın madde başlıklarını iskelete döker; her madde işyerinin kendi risk değerlendirmesine ve işleyişine göre doldurulmalı, işyerine uymayan maddeler çıkarılıp gerekenler eklenmelidir.</w:t>
      </w:r>
    </w:p>
    <w:p>
      <w:pPr>
        <w:pStyle w:val="Heading1"/>
        <w:spacing w:after="160"/>
      </w:pPr>
      <w:r>
        <w:t xml:space="preserve">Kapak Bilgileri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unvanı / adresi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Doküman no / revizyon no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Kurul karar tarihi ve sayısı (taslağın kabulü)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Onaylayan (işveren / işveren vekili — ad, imza, tarih)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Yürürlük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BİRİNCİ BÖLÜM — Amaç, Kapsam, Dayanak ve Tanımlar</w:t>
      </w:r>
    </w:p>
    <w:p>
      <w:pPr>
        <w:spacing w:after="80"/>
      </w:pPr>
      <w:r>
        <w:rPr>
          <w:b/>
          <w:sz w:val="22"/>
          <w:szCs w:val="22"/>
        </w:rPr>
        <w:t xml:space="preserve">Madde 1 — Amaç</w:t>
      </w:r>
    </w:p>
    <w:p>
      <w:pPr>
        <w:spacing w:after="80"/>
      </w:pPr>
      <w:r>
        <w:rPr>
          <w:sz w:val="21"/>
          <w:szCs w:val="21"/>
        </w:rPr>
        <w:t xml:space="preserve">Bu yönergenin amacı; .......... işyerinde iş sağlığı ve güvenliğinin sağlanması, sürdürülmesi ve mevzuata uyumun işyeri düzeyinde kurallara bağlanmasıdır.</w:t>
      </w:r>
    </w:p>
    <w:p>
      <w:pPr>
        <w:spacing w:after="80"/>
      </w:pPr>
      <w:r>
        <w:rPr>
          <w:b/>
          <w:sz w:val="22"/>
          <w:szCs w:val="22"/>
        </w:rPr>
        <w:t xml:space="preserve">Madde 2 — Kapsam</w:t>
      </w:r>
    </w:p>
    <w:p>
      <w:pPr>
        <w:spacing w:after="80"/>
      </w:pPr>
      <w:r>
        <w:rPr>
          <w:sz w:val="21"/>
          <w:szCs w:val="21"/>
        </w:rPr>
        <w:t xml:space="preserve">Bu yönerge; işyerinin tüm birimlerini, çalışanlarını, alt işveren çalışanlarını, stajyerleri ve ziyaretçileri kapsar.</w:t>
      </w:r>
    </w:p>
    <w:p>
      <w:pPr>
        <w:spacing w:after="80"/>
      </w:pPr>
      <w:r>
        <w:rPr>
          <w:b/>
          <w:sz w:val="22"/>
          <w:szCs w:val="22"/>
        </w:rPr>
        <w:t xml:space="preserve">Madde 3 — Dayanak</w:t>
      </w:r>
    </w:p>
    <w:p>
      <w:pPr>
        <w:spacing w:after="80"/>
      </w:pPr>
      <w:r>
        <w:rPr>
          <w:sz w:val="21"/>
          <w:szCs w:val="21"/>
        </w:rPr>
        <w:t xml:space="preserve">6331 sayılı İş Sağlığı ve Güvenliği Kanunu ile İş Sağlığı ve Güvenliği Kurulları Hakkında Yönetmelik m.8 başta olmak üzere ilgili mevzuat hükümlerine dayanılarak hazırlanmıştır.</w:t>
      </w:r>
    </w:p>
    <w:p>
      <w:pPr>
        <w:spacing w:after="80"/>
      </w:pPr>
      <w:r>
        <w:rPr>
          <w:b/>
          <w:sz w:val="22"/>
          <w:szCs w:val="22"/>
        </w:rPr>
        <w:t xml:space="preserve">Madde 4 — Tanımlar</w:t>
      </w:r>
    </w:p>
    <w:p>
      <w:pPr>
        <w:spacing w:after="80"/>
      </w:pPr>
      <w:r>
        <w:rPr>
          <w:sz w:val="21"/>
          <w:szCs w:val="21"/>
        </w:rPr>
        <w:t xml:space="preserve">Bu yönergede geçen kurul, İSG profesyoneli, destek elemanı, çalışan temsilcisi, KKD, ramak kala ve DÖF kavramları ilgili mevzuattaki anlamlarıyla kullanılır. (İşyerine özgü ek tanımları buraya yazın.)</w:t>
      </w:r>
    </w:p>
    <w:p>
      <w:pPr>
        <w:pStyle w:val="Heading1"/>
        <w:spacing w:after="160"/>
      </w:pPr>
      <w:r>
        <w:t xml:space="preserve">İKİNCİ BÖLÜM — Organizasyon ve Sorumluluklar</w:t>
      </w:r>
    </w:p>
    <w:p>
      <w:pPr>
        <w:spacing w:after="80"/>
      </w:pPr>
      <w:r>
        <w:rPr>
          <w:b/>
          <w:sz w:val="22"/>
          <w:szCs w:val="22"/>
        </w:rPr>
        <w:t xml:space="preserve">Madde 5 — İSG Organizasyonu</w:t>
      </w:r>
    </w:p>
    <w:p>
      <w:pPr>
        <w:spacing w:after="80"/>
      </w:pPr>
      <w:r>
        <w:rPr>
          <w:sz w:val="21"/>
          <w:szCs w:val="21"/>
        </w:rPr>
        <w:t xml:space="preserve">İşyerinde İSG organizasyonu şu unsurlardan oluşur: İSG kurulu, iş güvenliği uzmanı, işyeri hekimi, (varsa) diğer sağlık personeli, çalışan temsilcisi/temsilcileri ve acil durum destek elemanları.</w:t>
      </w:r>
    </w:p>
    <w:p>
      <w:pPr>
        <w:spacing w:after="80"/>
      </w:pPr>
      <w:r>
        <w:rPr>
          <w:sz w:val="21"/>
          <w:szCs w:val="21"/>
        </w:rPr>
        <w:t xml:space="preserve">(Kurul üye listesini, görev dağılımını ve iletişim bilgilerini ek tablo olarak bağlayın.)</w:t>
      </w:r>
    </w:p>
    <w:p>
      <w:pPr>
        <w:spacing w:after="80"/>
      </w:pPr>
      <w:r>
        <w:rPr>
          <w:b/>
          <w:sz w:val="22"/>
          <w:szCs w:val="22"/>
        </w:rPr>
        <w:t xml:space="preserve">Madde 6 — İşverenin ve Yöneticilerin Sorumlulukları</w:t>
      </w:r>
    </w:p>
    <w:p>
      <w:pPr>
        <w:spacing w:after="80"/>
      </w:pPr>
      <w:r>
        <w:rPr>
          <w:sz w:val="21"/>
          <w:szCs w:val="21"/>
        </w:rPr>
        <w:t xml:space="preserve">İşveren; risk değerlendirmesinin yapılmasını, gerekli kaynağın ayrılmasını, eğitimlerin verilmesini ve bu yönergenin uygulanmasını sağlar. Birim yöneticileri kendi alanlarındaki İSG kurallarının uygulanmasından sorumludur.</w:t>
      </w:r>
    </w:p>
    <w:p>
      <w:pPr>
        <w:spacing w:after="80"/>
      </w:pPr>
      <w:r>
        <w:rPr>
          <w:b/>
          <w:sz w:val="22"/>
          <w:szCs w:val="22"/>
        </w:rPr>
        <w:t xml:space="preserve">Madde 7 — Çalışanların Yükümlülükleri</w:t>
      </w:r>
    </w:p>
    <w:p>
      <w:pPr>
        <w:spacing w:after="80"/>
      </w:pPr>
      <w:r>
        <w:rPr>
          <w:sz w:val="21"/>
          <w:szCs w:val="21"/>
        </w:rPr>
        <w:t xml:space="preserve">Çalışanlar; talimatlara uymak, kendilerine sağlanan KKD'yi kullanmak, makine ve ekipmanı amacına uygun kullanmak, tehlike ve ramak kala olaylarını bildirmekle yükümlüdür (6331 m.19).</w:t>
      </w:r>
    </w:p>
    <w:p>
      <w:pPr>
        <w:pStyle w:val="Heading1"/>
        <w:spacing w:after="160"/>
      </w:pPr>
      <w:r>
        <w:t xml:space="preserve">ÜÇÜNCÜ BÖLÜM — İşyeri Kuralları</w:t>
      </w:r>
    </w:p>
    <w:p>
      <w:pPr>
        <w:spacing w:after="80"/>
      </w:pPr>
      <w:r>
        <w:rPr>
          <w:b/>
          <w:sz w:val="22"/>
          <w:szCs w:val="22"/>
        </w:rPr>
        <w:t xml:space="preserve">Madde 8 — Genel Çalışma Kuralları</w:t>
      </w:r>
    </w:p>
    <w:p>
      <w:pPr>
        <w:spacing w:after="80"/>
      </w:pPr>
      <w:r>
        <w:rPr>
          <w:sz w:val="21"/>
          <w:szCs w:val="21"/>
        </w:rPr>
        <w:t xml:space="preserve">(İşyerine özgü kuralları maddeleyin: sahaya giriş, yasak alanlar, hız limitleri, sigara/ateş yasağı bölgeleri, düzen-temizlik, elektrikli ekipman kullanımı vb.)</w:t>
      </w:r>
    </w:p>
    <w:p>
      <w:pPr>
        <w:spacing w:after="80"/>
      </w:pPr>
      <w:r>
        <w:rPr>
          <w:b/>
          <w:sz w:val="22"/>
          <w:szCs w:val="22"/>
        </w:rPr>
        <w:t xml:space="preserve">Madde 9 — KKD Kullanım Kuralları</w:t>
      </w:r>
    </w:p>
    <w:p>
      <w:pPr>
        <w:spacing w:after="80"/>
      </w:pPr>
      <w:r>
        <w:rPr>
          <w:sz w:val="21"/>
          <w:szCs w:val="21"/>
        </w:rPr>
        <w:t xml:space="preserve">(Hangi bölümde/işte hangi KKD'nin zorunlu olduğunu tablo olarak ekleyin; zimmet ve yenileme usulünü yazın.)</w:t>
      </w:r>
    </w:p>
    <w:p>
      <w:pPr>
        <w:spacing w:after="80"/>
      </w:pPr>
      <w:r>
        <w:rPr>
          <w:b/>
          <w:sz w:val="22"/>
          <w:szCs w:val="22"/>
        </w:rPr>
        <w:t xml:space="preserve">Madde 10 — İzne Bağlı İşler</w:t>
      </w:r>
    </w:p>
    <w:p>
      <w:pPr>
        <w:spacing w:after="80"/>
      </w:pPr>
      <w:r>
        <w:rPr>
          <w:sz w:val="21"/>
          <w:szCs w:val="21"/>
        </w:rPr>
        <w:t xml:space="preserve">(Sıcak çalışma, kapalı alan, yüksekte çalışma gibi izin gerektiren işleri ve izin akışını yazın; formları ek olarak bağlayın.)</w:t>
      </w:r>
    </w:p>
    <w:p>
      <w:pPr>
        <w:spacing w:after="80"/>
      </w:pPr>
      <w:r>
        <w:rPr>
          <w:b/>
          <w:sz w:val="22"/>
          <w:szCs w:val="22"/>
        </w:rPr>
        <w:t xml:space="preserve">Madde 11 — Acil Durumlar</w:t>
      </w:r>
    </w:p>
    <w:p>
      <w:pPr>
        <w:spacing w:after="80"/>
      </w:pPr>
      <w:r>
        <w:rPr>
          <w:sz w:val="21"/>
          <w:szCs w:val="21"/>
        </w:rPr>
        <w:t xml:space="preserve">Acil durum organizasyonu, tahliye ve toplanma kuralları işyerinin Acil Durum Planında düzenlenmiştir; plan bu yönergenin ekidir. Destek elemanı listesi ilan panolarında güncel tutulur.</w:t>
      </w:r>
    </w:p>
    <w:p>
      <w:pPr>
        <w:spacing w:after="80"/>
      </w:pPr>
      <w:r>
        <w:rPr>
          <w:b/>
          <w:sz w:val="22"/>
          <w:szCs w:val="22"/>
        </w:rPr>
        <w:t xml:space="preserve">Madde 12 — Olay Bildirimi</w:t>
      </w:r>
    </w:p>
    <w:p>
      <w:pPr>
        <w:spacing w:after="80"/>
      </w:pPr>
      <w:r>
        <w:rPr>
          <w:sz w:val="21"/>
          <w:szCs w:val="21"/>
        </w:rPr>
        <w:t xml:space="preserve">İş kazası, ramak kala ve tehlikeli durumlar .......... kanalıyla bildirilir; bildirimler kurul gündeminde değerlendirilir ve gereken düzeltici-önleyici faaliyetler açılır.</w:t>
      </w:r>
    </w:p>
    <w:p>
      <w:pPr>
        <w:pStyle w:val="Heading1"/>
        <w:spacing w:after="160"/>
      </w:pPr>
      <w:r>
        <w:t xml:space="preserve">DÖRDÜNCÜ BÖLÜM — İzleme ve Yürürlük</w:t>
      </w:r>
    </w:p>
    <w:p>
      <w:pPr>
        <w:spacing w:after="80"/>
      </w:pPr>
      <w:r>
        <w:rPr>
          <w:b/>
          <w:sz w:val="22"/>
          <w:szCs w:val="22"/>
        </w:rPr>
        <w:t xml:space="preserve">Madde 13 — İzleme ve Güncelleme</w:t>
      </w:r>
    </w:p>
    <w:p>
      <w:pPr>
        <w:spacing w:after="80"/>
      </w:pPr>
      <w:r>
        <w:rPr>
          <w:sz w:val="21"/>
          <w:szCs w:val="21"/>
        </w:rPr>
        <w:t xml:space="preserve">Yönergenin uygulanmasını kurul izler; izleme sonuçları rapor hâline getirilir, alınması gereken tedbirler kurul gündemine alınır. Yönerge; mevzuat, süreç veya organizasyon değişikliklerinde güncellenir.</w:t>
      </w:r>
    </w:p>
    <w:p>
      <w:pPr>
        <w:spacing w:after="80"/>
      </w:pPr>
      <w:r>
        <w:rPr>
          <w:b/>
          <w:sz w:val="22"/>
          <w:szCs w:val="22"/>
        </w:rPr>
        <w:t xml:space="preserve">Madde 14 — Disiplin Hükümleri</w:t>
      </w:r>
    </w:p>
    <w:p>
      <w:pPr>
        <w:spacing w:after="80"/>
      </w:pPr>
      <w:r>
        <w:rPr>
          <w:sz w:val="21"/>
          <w:szCs w:val="21"/>
        </w:rPr>
        <w:t xml:space="preserve">(Yönerge kurallarına aykırılık hâlinde uygulanacak disiplin sürecini, işyerinin disiplin prosedürüne/personel yönetmeliğine atıfla yazın.)</w:t>
      </w:r>
    </w:p>
    <w:p>
      <w:pPr>
        <w:spacing w:after="80"/>
      </w:pPr>
      <w:r>
        <w:rPr>
          <w:b/>
          <w:sz w:val="22"/>
          <w:szCs w:val="22"/>
        </w:rPr>
        <w:t xml:space="preserve">Madde 15 — Yürürlük</w:t>
      </w:r>
    </w:p>
    <w:p>
      <w:pPr>
        <w:spacing w:after="80"/>
      </w:pPr>
      <w:r>
        <w:rPr>
          <w:sz w:val="21"/>
          <w:szCs w:val="21"/>
        </w:rPr>
        <w:t xml:space="preserve">Bu yönerge, işveren/işveren vekili onayıyla ..../..../...... tarihinde yürürlüğe girer ve çalışanlara duyurulur.</w:t>
      </w:r>
    </w:p>
    <w:p>
      <w:pPr>
        <w:pStyle w:val="Heading1"/>
        <w:spacing w:after="160"/>
      </w:pPr>
      <w:r>
        <w:t xml:space="preserve">Onay Bloğu</w:t>
      </w:r>
    </w:p>
    <w:tbl>
      <w:tblPr>
        <w:tblW w:w="0" w:type="auto"/>
        <w:tblLayout w:type="fixed"/>
      </w:tblPr>
      <w:tblGrid>
        <w:gridCol w:w="4700"/>
        <w:gridCol w:w="47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Hazırlayan (İSG Kurulu adına)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Onaylayan (İşveren / vekili)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Ad soyad / unvan / imza / tarih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Ad soyad / unvan / imza / tarih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spacing w:after="0"/>
      </w:pPr>
      <w:r>
        <w:rPr>
          <w:i/>
          <w:color w:val="64748B"/>
          <w:sz w:val="16"/>
          <w:szCs w:val="16"/>
        </w:rPr>
        <w:t xml:space="preserve">Bu şablon First İSG tarafından hazırlanmıştır — rehber: firstisg.com/kilavuzlar/isg-kurulu-ic-yonergesi · Kurul kararlarını ve DÖF takibini dijital yönetin: app.firstisg.com/signup · Son güncelleme: 2026-07-02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