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2563EB"/>
          <w:sz w:val="30"/>
          <w:szCs w:val="30"/>
        </w:rPr>
        <w:t xml:space="preserve">DÜZELTİCİ-ÖNLEYİCİ FAALİYET (DÖF) FORMU</w:t>
      </w:r>
    </w:p>
    <w:p>
      <w:pPr>
        <w:spacing w:after="240"/>
      </w:pPr>
      <w:r>
        <w:rPr>
          <w:i/>
          <w:sz w:val="18"/>
          <w:szCs w:val="18"/>
        </w:rPr>
        <w:t xml:space="preserve">DÖF formu; bir uygunsuzluğun ne olduğunu, kök nedenini ve tekrarını engelleyecek eylemleri tek belgede kayıt altına alır. Uluslararası karşılığı CAPA'dır. Üç soruya yazılı yanıt verir: Ne oldu? Neden oldu? Bir daha olmaması için ne yapılacak? DÖF yalnızca eylem tamamlanınca değil, doğrulama yapılınca kapatılır.</w:t>
      </w:r>
    </w:p>
    <w:p>
      <w:pPr>
        <w:pStyle w:val="Heading1"/>
        <w:spacing w:after="160"/>
      </w:pPr>
      <w:r>
        <w:t xml:space="preserve">1. Uygunsuzluk Bilgileri</w:t>
      </w:r>
    </w:p>
    <w:tbl>
      <w:tblPr>
        <w:tblW w:w="0" w:type="auto"/>
        <w:tblLayout w:type="fixed"/>
      </w:tblPr>
      <w:tblGrid>
        <w:gridCol w:w="3600"/>
        <w:gridCol w:w="58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DÖF no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Açılış tarihi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Kaynak (iş kazası / ramak kala / denetim bulgusu / iç audit / çalışan önerisi / müşteri şikâyeti)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Tespit eden / bildiren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İlgili bölüm / yer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Uygunsuzluk tanımı (ne oldu/ne var? somut, ölçülebilir)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İlgili mevzuat / standart maddesi (opsiyonel)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Risk seviyesi (Yüksek / Orta / Düşük)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spacing w:after="160"/>
      </w:pPr>
      <w:r>
        <w:t xml:space="preserve">2. Kök Neden Analizi</w:t>
      </w:r>
    </w:p>
    <w:p>
      <w:pPr>
        <w:spacing w:after="120"/>
      </w:pPr>
      <w:r>
        <w:rPr>
          <w:i/>
          <w:sz w:val="18"/>
          <w:szCs w:val="18"/>
        </w:rPr>
        <w:t xml:space="preserve">Belirtiyle yetinmeyin; kök nedene inin. Pratik yöntem 5 Neden (5 Why): uygunsuzluğun sebebini katmanlayarak 5 kez "neden?" diye sorun. Tek kök neden "çalışan dikkat etmedi" değildir — neden dikkat edemediğini sorun.</w:t>
      </w:r>
    </w:p>
    <w:tbl>
      <w:tblPr>
        <w:tblW w:w="0" w:type="auto"/>
        <w:tblLayout w:type="fixed"/>
      </w:tblPr>
      <w:tblGrid>
        <w:gridCol w:w="3600"/>
        <w:gridCol w:w="58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1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2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3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4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5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Belirlenen kök neden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spacing w:after="160"/>
      </w:pPr>
      <w:r>
        <w:t xml:space="preserve">3. Düzeltici ve Önleyici Faaliyet</w:t>
      </w:r>
    </w:p>
    <w:p>
      <w:pPr>
        <w:spacing w:after="120"/>
      </w:pPr>
      <w:r>
        <w:rPr>
          <w:i/>
          <w:sz w:val="18"/>
          <w:szCs w:val="18"/>
        </w:rPr>
        <w:t xml:space="preserve">Düzeltici faaliyet şu anki sorunu giderir (reaktif); önleyici faaliyet kök nedeni ortadan kaldırarak tekrarı engeller (proaktif). İkisi de ayrı satırda, ayrı sorumlu ve terminle yazılmalıdır. Her DÖF'e otomatik "eğitim verilecek" yazmak sistemsel hatayı gizler.</w:t>
      </w:r>
    </w:p>
    <w:tbl>
      <w:tblPr>
        <w:tblW w:w="0" w:type="auto"/>
        <w:tblLayout w:type="fixed"/>
      </w:tblPr>
      <w:tblGrid>
        <w:gridCol w:w="2400"/>
        <w:gridCol w:w="4000"/>
        <w:gridCol w:w="1700"/>
        <w:gridCol w:w="13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24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Faaliyet türü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40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Yapılacak iş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7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Sorumlu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3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Termin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24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Düzeltici (acil)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4000" w:type="dxa"/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700" w:type="dxa"/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3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24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Önleyici (kök neden)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4000" w:type="dxa"/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700" w:type="dxa"/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300" w:type="dxa"/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/>
          <w:sz w:val="18"/>
          <w:szCs w:val="18"/>
        </w:rPr>
        <w:t xml:space="preserve">Termin kuralı: yüksek risk için 3 gün, orta risk için 30 gün, düşük risk için 90 gün. "Mümkün olan en kısa sürede" termin sayılmaz.</w:t>
      </w:r>
    </w:p>
    <w:p>
      <w:pPr>
        <w:pStyle w:val="Heading1"/>
        <w:spacing w:after="160"/>
      </w:pPr>
      <w:r>
        <w:t xml:space="preserve">4. Doğrulama ve Kapanış</w:t>
      </w:r>
    </w:p>
    <w:tbl>
      <w:tblPr>
        <w:tblW w:w="0" w:type="auto"/>
        <w:tblLayout w:type="fixed"/>
      </w:tblPr>
      <w:tblGrid>
        <w:gridCol w:w="3600"/>
        <w:gridCol w:w="58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Eylem tamamlanma tarihi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Doğrulama (önlem uygunsuzluğu gerçekten çözdü mü? nasıl test edildi?)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Doğrulamayı yapan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Sonuç (Etkili / Tekrar açılacak)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Kapanış tarihi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Onaylayan (İSG uzmanı / işveren) — ad, imza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after="60"/>
      </w:pPr>
      <w:r>
        <w:rPr>
          <w:b/>
          <w:color w:val="2563EB"/>
          <w:sz w:val="26"/>
          <w:szCs w:val="26"/>
        </w:rPr>
        <w:t xml:space="preserve">DOLDURULMUŞ ÖRNEK — DEPO FORKLİFT-YAYA AYRIMI</w:t>
      </w:r>
    </w:p>
    <w:p>
      <w:pPr>
        <w:spacing w:after="240"/>
      </w:pPr>
      <w:r>
        <w:rPr>
          <w:i/>
          <w:sz w:val="18"/>
          <w:szCs w:val="18"/>
        </w:rPr>
        <w:t xml:space="preserve">Aşağıdaki örnek, formun nasıl doldurulacağını göstermek içindir; kendi DÖF'ünüzü 1. sayfadaki boş forma işleyin.</w:t>
      </w:r>
    </w:p>
    <w:p>
      <w:pPr>
        <w:pStyle w:val="Heading1"/>
        <w:spacing w:after="160"/>
      </w:pPr>
      <w:r>
        <w:t xml:space="preserve">1. Uygunsuzluk Bilgileri</w:t>
      </w:r>
    </w:p>
    <w:tbl>
      <w:tblPr>
        <w:tblW w:w="0" w:type="auto"/>
        <w:tblLayout w:type="fixed"/>
      </w:tblPr>
      <w:tblGrid>
        <w:gridCol w:w="3600"/>
        <w:gridCol w:w="58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DÖF no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DÖF-2026-037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Açılış tarihi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10.06.2026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Kaynak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Saha denetim bulgusu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Tespit eden / bildiren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B. Yıldız (İSG uzmanı, C sınıfı)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İlgili bölüm / yer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Sevkiyat deposu, yükleme koridoru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Uygunsuzluk tanımı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Yaya yolu çizgisi silinmiş; forklift yaya alanından geçiyor.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İlgili mevzuat / standart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İşyeri Bina ve Eklentilerinde Alınacak Sağlık ve Güvenlik Önlemlerine İlişkin Yönetmelik — taşıma yolları ve yaya geçişleri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Risk seviyesi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Yüksek (çarpışma → ölümcül olabilir)</w:t>
            </w:r>
          </w:p>
        </w:tc>
      </w:tr>
    </w:tbl>
    <w:p>
      <w:pPr>
        <w:spacing w:after="80"/>
      </w:pPr>
    </w:p>
    <w:p>
      <w:pPr>
        <w:pStyle w:val="Heading1"/>
        <w:spacing w:after="160"/>
      </w:pPr>
      <w:r>
        <w:t xml:space="preserve">2. Kök Neden Analizi (5 Neden)</w:t>
      </w:r>
    </w:p>
    <w:tbl>
      <w:tblPr>
        <w:tblW w:w="0" w:type="auto"/>
        <w:tblLayout w:type="fixed"/>
      </w:tblPr>
      <w:tblGrid>
        <w:gridCol w:w="3600"/>
        <w:gridCol w:w="58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1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Yaya çizgisi okunmuyor.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2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Zemin boyası yıpranmış, yenilenmemiş.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3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6 ayda bir yenileme yapılmamış.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4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Zemin işaretleme bakım planı bütçeye ertelenmiş.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Neden 5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İşaretleme bakımı sahipsiz; sorumlu birim atanmamış.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Belirlenen kök neden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Zemin işaretleme bakımının planlı bir sahibi ve takvimi yok.</w:t>
            </w:r>
          </w:p>
        </w:tc>
      </w:tr>
    </w:tbl>
    <w:p>
      <w:pPr>
        <w:spacing w:after="80"/>
      </w:pPr>
    </w:p>
    <w:p>
      <w:pPr>
        <w:pStyle w:val="Heading1"/>
        <w:spacing w:after="160"/>
      </w:pPr>
      <w:r>
        <w:t xml:space="preserve">3. Düzeltici ve Önleyici Faaliyet</w:t>
      </w:r>
    </w:p>
    <w:tbl>
      <w:tblPr>
        <w:tblW w:w="0" w:type="auto"/>
        <w:tblLayout w:type="fixed"/>
      </w:tblPr>
      <w:tblGrid>
        <w:gridCol w:w="2400"/>
        <w:gridCol w:w="4000"/>
        <w:gridCol w:w="1700"/>
        <w:gridCol w:w="13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24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Faaliyet türü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40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Yapılacak iş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7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Sorumlu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3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Termin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24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Düzeltici (acil)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4000" w:type="dxa"/>
          </w:tcPr>
          <w:p>
            <w:pPr>
              <w:spacing w:after="40"/>
            </w:pPr>
            <w:r>
              <w:t xml:space="preserve">Termoplastik sarı çizgi yeniden çizildi; geçici reflektif şerit konuldu.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700" w:type="dxa"/>
          </w:tcPr>
          <w:p>
            <w:pPr>
              <w:spacing w:after="40"/>
            </w:pPr>
            <w:r>
              <w:t xml:space="preserve">Bakım şefi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300" w:type="dxa"/>
          </w:tcPr>
          <w:p>
            <w:pPr>
              <w:spacing w:after="40"/>
            </w:pPr>
            <w:r>
              <w:t xml:space="preserve">72 saat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24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Önleyici (kök neden)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4000" w:type="dxa"/>
          </w:tcPr>
          <w:p>
            <w:pPr>
              <w:spacing w:after="40"/>
            </w:pPr>
            <w:r>
              <w:t xml:space="preserve">Zemin işaretleme bakım planı yıllık bütçeye çekildi; 4 ayda bir periyodik kontrol tanımlandı.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700" w:type="dxa"/>
          </w:tcPr>
          <w:p>
            <w:pPr>
              <w:spacing w:after="40"/>
            </w:pPr>
            <w:r>
              <w:t xml:space="preserve">Tesis müdürü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1300" w:type="dxa"/>
          </w:tcPr>
          <w:p>
            <w:pPr>
              <w:spacing w:after="40"/>
            </w:pPr>
            <w:r>
              <w:t xml:space="preserve">30 gün</w:t>
            </w:r>
          </w:p>
        </w:tc>
      </w:tr>
    </w:tbl>
    <w:p>
      <w:pPr>
        <w:spacing w:after="80"/>
      </w:pPr>
    </w:p>
    <w:p>
      <w:pPr>
        <w:pStyle w:val="Heading1"/>
        <w:spacing w:after="160"/>
      </w:pPr>
      <w:r>
        <w:t xml:space="preserve">4. Doğrulama ve Kapanış</w:t>
      </w:r>
    </w:p>
    <w:tbl>
      <w:tblPr>
        <w:tblW w:w="0" w:type="auto"/>
        <w:tblLayout w:type="fixed"/>
      </w:tblPr>
      <w:tblGrid>
        <w:gridCol w:w="3600"/>
        <w:gridCol w:w="5800"/>
      </w:tblGrid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Eylem tamamlanma tarihi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08.07.2026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Doğrulama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3 ay sonra koridor yeniden denetlendi; çizgiler okunaklı, forklift-yaya ayrımı korunuyor. Benzer uygunsuzluk tekrar etmedi.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Doğrulamayı yapan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B. Yıldız (İSG uzmanı)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Sonuç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Etkili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Kapanış tarihi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09.10.2026</w:t>
            </w:r>
          </w:p>
        </w:tc>
      </w:tr>
      <w:tr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3600" w:type="dxa"/>
            <w:shd w:val="clear" w:color="auto" w:fill="2563EB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Onaylayan</w:t>
            </w:r>
          </w:p>
        </w:tc>
        <w:tc>
          <w:tcP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W w:w="5800" w:type="dxa"/>
          </w:tcPr>
          <w:p>
            <w:pPr>
              <w:spacing w:after="40"/>
            </w:pPr>
            <w:r>
              <w:t xml:space="preserve">İşveren vekili — imza</w:t>
            </w:r>
          </w:p>
        </w:tc>
      </w:tr>
    </w:tbl>
    <w:p>
      <w:pPr>
        <w:spacing w:after="80"/>
      </w:pPr>
    </w:p>
    <w:p>
      <w:pPr>
        <w:spacing w:after="0"/>
      </w:pPr>
      <w:r>
        <w:rPr>
          <w:i/>
          <w:color w:val="64748B"/>
          <w:sz w:val="16"/>
          <w:szCs w:val="16"/>
        </w:rPr>
        <w:t xml:space="preserve">Bu şablon First İSG tarafından hazırlanmıştır — rehber: firstisg.com/kilavuzlar/dof-ornekleri · DÖF'leri otomatik numara, termin hatırlatması ve zorunlu doğrulama adımıyla tek panelde takip edin: app.firstisg.com/signup · Son güncelleme: 2026-06-24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</w:rPr>
    </w:rPrDefault>
  </w:docDefaults>
  <w:style w:type="paragraph" w:default="1" w:styleId="Normal">
    <w:name w:val="Normal"/>
  </w:style>
  <w:style w:type="paragraph" w:styleId="Heading1">
    <w:name w:val="heading 1"/>
    <w:basedOn w:val="Normal"/>
    <w:pPr>
      <w:spacing w:before="280" w:after="160"/>
      <w:outlineLvl w:val="0"/>
    </w:pPr>
    <w:rPr>
      <w:b/>
      <w:color w:val="2563EB"/>
      <w:sz w:val="26"/>
      <w:szCs w:val="2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